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41952" w14:textId="77777777" w:rsidR="00521632" w:rsidRPr="00521632" w:rsidRDefault="00521632" w:rsidP="000A1C61">
      <w:pPr>
        <w:rPr>
          <w:rFonts w:eastAsia="Calibri"/>
          <w:b/>
          <w:bCs/>
          <w:sz w:val="18"/>
          <w:szCs w:val="18"/>
          <w:lang w:eastAsia="en-US"/>
        </w:rPr>
      </w:pPr>
      <w:r w:rsidRPr="00521632">
        <w:rPr>
          <w:rFonts w:eastAsia="Calibri"/>
          <w:b/>
          <w:bCs/>
          <w:sz w:val="18"/>
          <w:szCs w:val="18"/>
          <w:lang w:eastAsia="en-US"/>
        </w:rPr>
        <w:t xml:space="preserve">Muz., 2023(64) </w:t>
      </w:r>
    </w:p>
    <w:p w14:paraId="256C16C3" w14:textId="77777777" w:rsidR="00521632" w:rsidRPr="00521632" w:rsidRDefault="00521632" w:rsidP="000A1C61">
      <w:pPr>
        <w:rPr>
          <w:rFonts w:eastAsia="Calibri"/>
          <w:b/>
          <w:bCs/>
          <w:sz w:val="18"/>
          <w:szCs w:val="18"/>
          <w:lang w:eastAsia="en-US"/>
        </w:rPr>
      </w:pPr>
      <w:r w:rsidRPr="00521632">
        <w:rPr>
          <w:rFonts w:eastAsia="Calibri"/>
          <w:b/>
          <w:bCs/>
          <w:sz w:val="18"/>
          <w:szCs w:val="18"/>
          <w:lang w:eastAsia="en-US"/>
        </w:rPr>
        <w:t xml:space="preserve">Rocznik, </w:t>
      </w:r>
      <w:proofErr w:type="spellStart"/>
      <w:r w:rsidRPr="00521632">
        <w:rPr>
          <w:rFonts w:eastAsia="Calibri"/>
          <w:b/>
          <w:bCs/>
          <w:sz w:val="18"/>
          <w:szCs w:val="18"/>
          <w:lang w:eastAsia="en-US"/>
        </w:rPr>
        <w:t>eISSN</w:t>
      </w:r>
      <w:proofErr w:type="spellEnd"/>
      <w:r w:rsidRPr="00521632">
        <w:rPr>
          <w:rFonts w:eastAsia="Calibri"/>
          <w:b/>
          <w:bCs/>
          <w:sz w:val="18"/>
          <w:szCs w:val="18"/>
          <w:lang w:eastAsia="en-US"/>
        </w:rPr>
        <w:t xml:space="preserve"> 2391-4815</w:t>
      </w:r>
    </w:p>
    <w:p w14:paraId="3EB2049E" w14:textId="77777777" w:rsidR="00521632" w:rsidRPr="00521632" w:rsidRDefault="00521632" w:rsidP="000A1C61">
      <w:pPr>
        <w:rPr>
          <w:rFonts w:eastAsia="Calibri"/>
          <w:b/>
          <w:bCs/>
          <w:sz w:val="18"/>
          <w:szCs w:val="18"/>
          <w:lang w:eastAsia="en-US"/>
        </w:rPr>
      </w:pPr>
      <w:r w:rsidRPr="00521632">
        <w:rPr>
          <w:rFonts w:eastAsia="Calibri"/>
          <w:b/>
          <w:bCs/>
          <w:sz w:val="18"/>
          <w:szCs w:val="18"/>
          <w:lang w:eastAsia="en-US"/>
        </w:rPr>
        <w:t xml:space="preserve"> </w:t>
      </w:r>
    </w:p>
    <w:p w14:paraId="4E67E9B4" w14:textId="59ECD12C" w:rsidR="00521632" w:rsidRPr="00521632" w:rsidRDefault="00521632" w:rsidP="000A1C61">
      <w:pPr>
        <w:rPr>
          <w:rFonts w:eastAsia="Calibri"/>
          <w:b/>
          <w:bCs/>
          <w:sz w:val="18"/>
          <w:szCs w:val="18"/>
          <w:lang w:eastAsia="en-US"/>
        </w:rPr>
      </w:pPr>
      <w:r w:rsidRPr="00521632">
        <w:rPr>
          <w:rFonts w:eastAsia="Calibri"/>
          <w:b/>
          <w:bCs/>
          <w:sz w:val="18"/>
          <w:szCs w:val="18"/>
          <w:lang w:eastAsia="en-US"/>
        </w:rPr>
        <w:t>data przyjęcia – 0</w:t>
      </w:r>
      <w:r>
        <w:rPr>
          <w:rFonts w:eastAsia="Calibri"/>
          <w:b/>
          <w:bCs/>
          <w:sz w:val="18"/>
          <w:szCs w:val="18"/>
          <w:lang w:eastAsia="en-US"/>
        </w:rPr>
        <w:t>6</w:t>
      </w:r>
      <w:r w:rsidRPr="00521632">
        <w:rPr>
          <w:rFonts w:eastAsia="Calibri"/>
          <w:b/>
          <w:bCs/>
          <w:sz w:val="18"/>
          <w:szCs w:val="18"/>
          <w:lang w:eastAsia="en-US"/>
        </w:rPr>
        <w:t>.2023</w:t>
      </w:r>
    </w:p>
    <w:p w14:paraId="037D8319" w14:textId="36369FB1" w:rsidR="00521632" w:rsidRPr="00521632" w:rsidRDefault="00521632" w:rsidP="000A1C61">
      <w:pPr>
        <w:rPr>
          <w:rFonts w:eastAsia="Calibri"/>
          <w:b/>
          <w:bCs/>
          <w:sz w:val="18"/>
          <w:szCs w:val="18"/>
          <w:lang w:eastAsia="en-US"/>
        </w:rPr>
      </w:pPr>
      <w:r w:rsidRPr="00521632">
        <w:rPr>
          <w:rFonts w:eastAsia="Calibri"/>
          <w:b/>
          <w:bCs/>
          <w:sz w:val="18"/>
          <w:szCs w:val="18"/>
          <w:lang w:eastAsia="en-US"/>
        </w:rPr>
        <w:t>data akceptacji – 0</w:t>
      </w:r>
      <w:r>
        <w:rPr>
          <w:rFonts w:eastAsia="Calibri"/>
          <w:b/>
          <w:bCs/>
          <w:sz w:val="18"/>
          <w:szCs w:val="18"/>
          <w:lang w:eastAsia="en-US"/>
        </w:rPr>
        <w:t>6</w:t>
      </w:r>
      <w:r w:rsidRPr="00521632">
        <w:rPr>
          <w:rFonts w:eastAsia="Calibri"/>
          <w:b/>
          <w:bCs/>
          <w:sz w:val="18"/>
          <w:szCs w:val="18"/>
          <w:lang w:eastAsia="en-US"/>
        </w:rPr>
        <w:t>.2023</w:t>
      </w:r>
    </w:p>
    <w:p w14:paraId="011B0E5B" w14:textId="2DA0C992" w:rsidR="00521632" w:rsidRPr="00521632" w:rsidRDefault="00521632" w:rsidP="000A1C61">
      <w:pPr>
        <w:rPr>
          <w:rFonts w:eastAsia="Calibri"/>
          <w:b/>
          <w:bCs/>
          <w:sz w:val="18"/>
          <w:szCs w:val="18"/>
          <w:lang w:eastAsia="en-US"/>
        </w:rPr>
      </w:pPr>
      <w:r w:rsidRPr="00521632">
        <w:rPr>
          <w:rFonts w:eastAsia="Calibri"/>
          <w:b/>
          <w:bCs/>
          <w:sz w:val="18"/>
          <w:szCs w:val="18"/>
          <w:lang w:eastAsia="en-US"/>
        </w:rPr>
        <w:t>DOI:</w:t>
      </w:r>
      <w:r w:rsidR="000F7787">
        <w:rPr>
          <w:rFonts w:eastAsia="Calibri"/>
          <w:b/>
          <w:bCs/>
          <w:sz w:val="18"/>
          <w:szCs w:val="18"/>
          <w:lang w:eastAsia="en-US"/>
        </w:rPr>
        <w:t xml:space="preserve"> 10.5604/01/3001.0053.7586</w:t>
      </w:r>
    </w:p>
    <w:p w14:paraId="6B76C5EB" w14:textId="77777777" w:rsidR="00521632" w:rsidRDefault="00521632" w:rsidP="000A1C61">
      <w:pPr>
        <w:rPr>
          <w:b/>
          <w:bCs/>
        </w:rPr>
      </w:pPr>
    </w:p>
    <w:p w14:paraId="52073AB7" w14:textId="2D9B3C5D" w:rsidR="00521632" w:rsidRPr="00184140" w:rsidRDefault="00521632" w:rsidP="000A1C61">
      <w:pPr>
        <w:jc w:val="both"/>
        <w:rPr>
          <w:b/>
          <w:lang w:val="en-US"/>
        </w:rPr>
      </w:pPr>
      <w:r w:rsidRPr="00184140">
        <w:rPr>
          <w:b/>
          <w:lang w:val="en-US"/>
        </w:rPr>
        <w:t>CONTRACTS IN MUSEUM OPERATIONS. PUBLIC-LAW ASPECTS</w:t>
      </w:r>
    </w:p>
    <w:p w14:paraId="6FA42783" w14:textId="77777777" w:rsidR="007C50A6" w:rsidRPr="000A1C61" w:rsidRDefault="007C50A6" w:rsidP="000A1C61">
      <w:pPr>
        <w:jc w:val="both"/>
        <w:rPr>
          <w:lang w:val="en-US"/>
        </w:rPr>
      </w:pPr>
    </w:p>
    <w:p w14:paraId="3AB8AB95" w14:textId="4BE5B41C" w:rsidR="007C50A6" w:rsidRDefault="007C50A6" w:rsidP="000A1C61">
      <w:pPr>
        <w:jc w:val="both"/>
        <w:rPr>
          <w:b/>
        </w:rPr>
      </w:pPr>
      <w:r w:rsidRPr="007C50A6">
        <w:rPr>
          <w:b/>
        </w:rPr>
        <w:t>Adam Barbasiewicz</w:t>
      </w:r>
    </w:p>
    <w:p w14:paraId="562604C2" w14:textId="791D6B36" w:rsidR="007C50A6" w:rsidRPr="007C50A6" w:rsidRDefault="00DB49E3" w:rsidP="000A1C61">
      <w:pPr>
        <w:jc w:val="both"/>
        <w:rPr>
          <w:b/>
        </w:rPr>
      </w:pPr>
      <w:proofErr w:type="spellStart"/>
      <w:r>
        <w:t>Wars</w:t>
      </w:r>
      <w:r w:rsidR="004662B1">
        <w:t>aw</w:t>
      </w:r>
      <w:proofErr w:type="spellEnd"/>
    </w:p>
    <w:p w14:paraId="37B5936E" w14:textId="463B6525" w:rsidR="007C50A6" w:rsidRDefault="007C50A6" w:rsidP="000A1C61">
      <w:pPr>
        <w:jc w:val="both"/>
      </w:pPr>
      <w:r>
        <w:t xml:space="preserve">ORCID </w:t>
      </w:r>
      <w:r w:rsidRPr="00EC49EB">
        <w:t>0000-0002-1058-4041</w:t>
      </w:r>
    </w:p>
    <w:p w14:paraId="58A53D1A" w14:textId="77777777" w:rsidR="007C50A6" w:rsidRDefault="007C50A6" w:rsidP="000A1C61">
      <w:pPr>
        <w:jc w:val="both"/>
      </w:pPr>
    </w:p>
    <w:p w14:paraId="3E701A0F" w14:textId="1ED1CCFD" w:rsidR="007C50A6" w:rsidRPr="00C821CC" w:rsidRDefault="007C50A6" w:rsidP="000A1C61">
      <w:pPr>
        <w:jc w:val="both"/>
        <w:rPr>
          <w:b/>
        </w:rPr>
      </w:pPr>
      <w:r w:rsidRPr="00C821CC">
        <w:rPr>
          <w:b/>
        </w:rPr>
        <w:t xml:space="preserve">Paulina </w:t>
      </w:r>
      <w:proofErr w:type="spellStart"/>
      <w:r w:rsidRPr="00C821CC">
        <w:rPr>
          <w:b/>
        </w:rPr>
        <w:t>Gwoździewicz-Matan</w:t>
      </w:r>
      <w:proofErr w:type="spellEnd"/>
      <w:r w:rsidRPr="00C821CC">
        <w:rPr>
          <w:b/>
        </w:rPr>
        <w:t>,</w:t>
      </w:r>
      <w:r w:rsidRPr="00C821CC">
        <w:rPr>
          <w:b/>
          <w:i/>
        </w:rPr>
        <w:t xml:space="preserve"> Umowy w działalności muzeów. Zagadnienia publicznoprawne</w:t>
      </w:r>
      <w:r w:rsidR="005C1B62">
        <w:rPr>
          <w:b/>
          <w:iCs/>
        </w:rPr>
        <w:t xml:space="preserve"> </w:t>
      </w:r>
      <w:r w:rsidR="005C1B62" w:rsidRPr="000A1C61">
        <w:rPr>
          <w:iCs/>
        </w:rPr>
        <w:t>[</w:t>
      </w:r>
      <w:proofErr w:type="spellStart"/>
      <w:r w:rsidR="005C1B62" w:rsidRPr="000A1C61">
        <w:rPr>
          <w:iCs/>
        </w:rPr>
        <w:t>Contracts</w:t>
      </w:r>
      <w:proofErr w:type="spellEnd"/>
      <w:r w:rsidR="005C1B62" w:rsidRPr="000A1C61">
        <w:rPr>
          <w:iCs/>
        </w:rPr>
        <w:t xml:space="preserve"> in </w:t>
      </w:r>
      <w:proofErr w:type="spellStart"/>
      <w:r w:rsidR="005C1B62" w:rsidRPr="000A1C61">
        <w:rPr>
          <w:iCs/>
        </w:rPr>
        <w:t>Museum</w:t>
      </w:r>
      <w:proofErr w:type="spellEnd"/>
      <w:r w:rsidR="005C1B62" w:rsidRPr="000A1C61">
        <w:rPr>
          <w:iCs/>
        </w:rPr>
        <w:t xml:space="preserve"> Operations. Public-law </w:t>
      </w:r>
      <w:proofErr w:type="spellStart"/>
      <w:r w:rsidR="005C1B62" w:rsidRPr="000A1C61">
        <w:rPr>
          <w:iCs/>
        </w:rPr>
        <w:t>Aspects</w:t>
      </w:r>
      <w:proofErr w:type="spellEnd"/>
      <w:r w:rsidR="005C1B62" w:rsidRPr="000A1C61">
        <w:rPr>
          <w:iCs/>
        </w:rPr>
        <w:t>]</w:t>
      </w:r>
      <w:r w:rsidRPr="00C821CC">
        <w:rPr>
          <w:b/>
        </w:rPr>
        <w:t xml:space="preserve">, </w:t>
      </w:r>
      <w:r w:rsidR="00614F50">
        <w:rPr>
          <w:b/>
        </w:rPr>
        <w:t>(</w:t>
      </w:r>
      <w:r w:rsidR="00413951" w:rsidRPr="00C821CC">
        <w:rPr>
          <w:b/>
        </w:rPr>
        <w:t>Gdańsk</w:t>
      </w:r>
      <w:r w:rsidR="00413951">
        <w:rPr>
          <w:b/>
        </w:rPr>
        <w:t>–Sopot</w:t>
      </w:r>
      <w:r w:rsidR="00614F50">
        <w:rPr>
          <w:b/>
        </w:rPr>
        <w:t>:</w:t>
      </w:r>
      <w:r w:rsidR="00413951" w:rsidRPr="00C821CC">
        <w:rPr>
          <w:b/>
        </w:rPr>
        <w:t xml:space="preserve"> </w:t>
      </w:r>
      <w:r w:rsidR="005A25E2" w:rsidRPr="00C821CC">
        <w:rPr>
          <w:b/>
        </w:rPr>
        <w:t>Wydawnictwo Uniwersytetu Gdańskiego,</w:t>
      </w:r>
      <w:r w:rsidR="005A25E2">
        <w:rPr>
          <w:b/>
        </w:rPr>
        <w:t xml:space="preserve"> </w:t>
      </w:r>
      <w:r w:rsidR="00413951" w:rsidRPr="00C821CC">
        <w:rPr>
          <w:b/>
        </w:rPr>
        <w:t>2022</w:t>
      </w:r>
      <w:r w:rsidR="005A25E2">
        <w:rPr>
          <w:b/>
        </w:rPr>
        <w:t>)</w:t>
      </w:r>
      <w:r w:rsidR="00413951" w:rsidRPr="00C821CC">
        <w:rPr>
          <w:b/>
        </w:rPr>
        <w:t xml:space="preserve">, </w:t>
      </w:r>
      <w:r w:rsidR="005A25E2">
        <w:rPr>
          <w:b/>
        </w:rPr>
        <w:t>pp</w:t>
      </w:r>
      <w:r w:rsidR="00413951" w:rsidRPr="00C821CC">
        <w:rPr>
          <w:b/>
        </w:rPr>
        <w:t xml:space="preserve">. </w:t>
      </w:r>
      <w:r w:rsidR="00413951">
        <w:rPr>
          <w:b/>
        </w:rPr>
        <w:t>135</w:t>
      </w:r>
    </w:p>
    <w:p w14:paraId="186F99DE" w14:textId="77777777" w:rsidR="00413951" w:rsidRPr="00143CA1" w:rsidRDefault="00413951" w:rsidP="000A1C61">
      <w:pPr>
        <w:jc w:val="both"/>
      </w:pPr>
    </w:p>
    <w:p w14:paraId="22C878BC" w14:textId="5F2B913F" w:rsidR="00270912" w:rsidRPr="009A4145" w:rsidRDefault="00270912" w:rsidP="000A1C61">
      <w:pPr>
        <w:jc w:val="both"/>
        <w:rPr>
          <w:lang w:val="en-US"/>
        </w:rPr>
      </w:pPr>
      <w:r w:rsidRPr="000A1C61">
        <w:t xml:space="preserve">In 2022, the Wydawnictwo Uniwersytetu Gdańskiego </w:t>
      </w:r>
      <w:proofErr w:type="spellStart"/>
      <w:r w:rsidRPr="000A1C61">
        <w:t>published</w:t>
      </w:r>
      <w:proofErr w:type="spellEnd"/>
      <w:r w:rsidRPr="000A1C61">
        <w:t xml:space="preserve"> </w:t>
      </w:r>
      <w:r w:rsidRPr="000A1C61">
        <w:rPr>
          <w:i/>
        </w:rPr>
        <w:t>Umowy w działalności muzeów. Zagadnienia publicznoprawne</w:t>
      </w:r>
      <w:r w:rsidRPr="000A1C61">
        <w:rPr>
          <w:iCs/>
        </w:rPr>
        <w:t xml:space="preserve"> [</w:t>
      </w:r>
      <w:proofErr w:type="spellStart"/>
      <w:r w:rsidRPr="000A1C61">
        <w:rPr>
          <w:iCs/>
        </w:rPr>
        <w:t>Contracts</w:t>
      </w:r>
      <w:proofErr w:type="spellEnd"/>
      <w:r w:rsidRPr="000A1C61">
        <w:rPr>
          <w:iCs/>
        </w:rPr>
        <w:t xml:space="preserve"> in </w:t>
      </w:r>
      <w:proofErr w:type="spellStart"/>
      <w:r w:rsidRPr="000A1C61">
        <w:rPr>
          <w:iCs/>
        </w:rPr>
        <w:t>Museum</w:t>
      </w:r>
      <w:proofErr w:type="spellEnd"/>
      <w:r w:rsidRPr="000A1C61">
        <w:rPr>
          <w:iCs/>
        </w:rPr>
        <w:t xml:space="preserve"> Operations. Public-law </w:t>
      </w:r>
      <w:proofErr w:type="spellStart"/>
      <w:r w:rsidRPr="000A1C61">
        <w:rPr>
          <w:iCs/>
        </w:rPr>
        <w:t>Aspects</w:t>
      </w:r>
      <w:proofErr w:type="spellEnd"/>
      <w:r w:rsidRPr="000A1C61">
        <w:rPr>
          <w:iCs/>
        </w:rPr>
        <w:t xml:space="preserve">] by </w:t>
      </w:r>
      <w:r w:rsidRPr="000A1C61">
        <w:t xml:space="preserve">Paulina </w:t>
      </w:r>
      <w:proofErr w:type="spellStart"/>
      <w:r w:rsidRPr="000A1C61">
        <w:t>Gwoździewicz-Matan</w:t>
      </w:r>
      <w:proofErr w:type="spellEnd"/>
      <w:r w:rsidRPr="000A1C61">
        <w:t xml:space="preserve">. </w:t>
      </w:r>
      <w:r w:rsidRPr="00184BAD">
        <w:t xml:space="preserve">It </w:t>
      </w:r>
      <w:proofErr w:type="spellStart"/>
      <w:r w:rsidRPr="00184BAD">
        <w:t>is</w:t>
      </w:r>
      <w:proofErr w:type="spellEnd"/>
      <w:r w:rsidRPr="00184BAD">
        <w:t xml:space="preserve"> a </w:t>
      </w:r>
      <w:proofErr w:type="spellStart"/>
      <w:r w:rsidRPr="00184BAD">
        <w:t>supplement</w:t>
      </w:r>
      <w:proofErr w:type="spellEnd"/>
      <w:r w:rsidRPr="00184BAD">
        <w:t xml:space="preserve"> to the </w:t>
      </w:r>
      <w:proofErr w:type="spellStart"/>
      <w:r w:rsidRPr="00184BAD">
        <w:t>book</w:t>
      </w:r>
      <w:proofErr w:type="spellEnd"/>
      <w:r w:rsidR="00184BAD" w:rsidRPr="00184BAD">
        <w:t xml:space="preserve"> </w:t>
      </w:r>
      <w:r w:rsidR="00184BAD" w:rsidRPr="000A1C61">
        <w:rPr>
          <w:i/>
        </w:rPr>
        <w:t xml:space="preserve">Umowy w działalności muzeów. </w:t>
      </w:r>
      <w:r w:rsidR="00184BAD" w:rsidRPr="00184BAD">
        <w:rPr>
          <w:i/>
        </w:rPr>
        <w:t xml:space="preserve">Prawo cywilne. </w:t>
      </w:r>
      <w:proofErr w:type="spellStart"/>
      <w:r w:rsidR="00184BAD" w:rsidRPr="0037067F">
        <w:rPr>
          <w:i/>
          <w:lang w:val="en-GB"/>
        </w:rPr>
        <w:t>Prawo</w:t>
      </w:r>
      <w:proofErr w:type="spellEnd"/>
      <w:r w:rsidR="00184BAD" w:rsidRPr="0037067F">
        <w:rPr>
          <w:i/>
          <w:lang w:val="en-GB"/>
        </w:rPr>
        <w:t xml:space="preserve"> </w:t>
      </w:r>
      <w:proofErr w:type="spellStart"/>
      <w:r w:rsidR="00184BAD" w:rsidRPr="0037067F">
        <w:rPr>
          <w:i/>
          <w:lang w:val="en-GB"/>
        </w:rPr>
        <w:t>autorskie</w:t>
      </w:r>
      <w:proofErr w:type="spellEnd"/>
      <w:r w:rsidR="00184BAD" w:rsidRPr="0037067F">
        <w:rPr>
          <w:iCs/>
          <w:lang w:val="en-GB"/>
        </w:rPr>
        <w:t xml:space="preserve"> [Contracts in Museum Operations. Civil Law. </w:t>
      </w:r>
      <w:r w:rsidR="00184BAD" w:rsidRPr="009A4145">
        <w:rPr>
          <w:iCs/>
          <w:lang w:val="en-US"/>
        </w:rPr>
        <w:t xml:space="preserve">Copyright] </w:t>
      </w:r>
      <w:r w:rsidR="00D16A62" w:rsidRPr="00184BAD">
        <w:rPr>
          <w:lang w:val="en-US"/>
        </w:rPr>
        <w:t xml:space="preserve"> next</w:t>
      </w:r>
      <w:r w:rsidR="0040589E" w:rsidRPr="00184BAD">
        <w:rPr>
          <w:lang w:val="en-US"/>
        </w:rPr>
        <w:t xml:space="preserve"> to </w:t>
      </w:r>
      <w:r w:rsidRPr="00184BAD">
        <w:rPr>
          <w:lang w:val="en-US"/>
        </w:rPr>
        <w:t xml:space="preserve">Iwona </w:t>
      </w:r>
      <w:proofErr w:type="spellStart"/>
      <w:r w:rsidRPr="00184BAD">
        <w:rPr>
          <w:lang w:val="en-US"/>
        </w:rPr>
        <w:t>Gredka-Ligarska</w:t>
      </w:r>
      <w:proofErr w:type="spellEnd"/>
      <w:r w:rsidRPr="00184BAD">
        <w:rPr>
          <w:lang w:val="en-US"/>
        </w:rPr>
        <w:t xml:space="preserve"> and Prof. Wojciech W. Kowalski</w:t>
      </w:r>
      <w:r w:rsidR="007E43D1" w:rsidRPr="00184BAD">
        <w:rPr>
          <w:lang w:val="en-US"/>
        </w:rPr>
        <w:t xml:space="preserve"> authored by Paulina </w:t>
      </w:r>
      <w:proofErr w:type="spellStart"/>
      <w:r w:rsidR="007E43D1" w:rsidRPr="00184BAD">
        <w:rPr>
          <w:lang w:val="en-US"/>
        </w:rPr>
        <w:t>Gwoździewicz</w:t>
      </w:r>
      <w:proofErr w:type="spellEnd"/>
      <w:r w:rsidR="007E43D1" w:rsidRPr="00184BAD">
        <w:rPr>
          <w:lang w:val="en-US"/>
        </w:rPr>
        <w:t>-Matan</w:t>
      </w:r>
      <w:r w:rsidRPr="00184BAD">
        <w:rPr>
          <w:lang w:val="en-US"/>
        </w:rPr>
        <w:t xml:space="preserve"> </w:t>
      </w:r>
      <w:r w:rsidR="0094527C" w:rsidRPr="009A4145">
        <w:rPr>
          <w:iCs/>
          <w:lang w:val="en-US"/>
        </w:rPr>
        <w:t xml:space="preserve">released by the same publisher in 2019. </w:t>
      </w:r>
    </w:p>
    <w:p w14:paraId="25D4C2DB" w14:textId="785CE235" w:rsidR="00836968" w:rsidRPr="004C13E3" w:rsidRDefault="00836968" w:rsidP="000A1C61">
      <w:pPr>
        <w:ind w:firstLine="708"/>
        <w:jc w:val="both"/>
        <w:rPr>
          <w:lang w:val="en-US"/>
        </w:rPr>
      </w:pPr>
      <w:r w:rsidRPr="00836968">
        <w:rPr>
          <w:lang w:val="en-US"/>
        </w:rPr>
        <w:t>The collection of studies o</w:t>
      </w:r>
      <w:r>
        <w:rPr>
          <w:lang w:val="en-US"/>
        </w:rPr>
        <w:t xml:space="preserve">f various aspects of museum-related laws has been systematically </w:t>
      </w:r>
      <w:r w:rsidR="00986E1D">
        <w:rPr>
          <w:lang w:val="en-US"/>
        </w:rPr>
        <w:t>growing in the recent years, and this very domain has already been given several comprehensive</w:t>
      </w:r>
      <w:r w:rsidR="001425D5">
        <w:rPr>
          <w:lang w:val="en-US"/>
        </w:rPr>
        <w:t xml:space="preserve"> commentaries. </w:t>
      </w:r>
      <w:r w:rsidR="001425D5" w:rsidRPr="004C13E3">
        <w:rPr>
          <w:lang w:val="en-US"/>
        </w:rPr>
        <w:t>Importantly,</w:t>
      </w:r>
      <w:r w:rsidR="009A4145">
        <w:rPr>
          <w:lang w:val="en-US"/>
        </w:rPr>
        <w:t xml:space="preserve"> however,</w:t>
      </w:r>
      <w:r w:rsidR="001425D5" w:rsidRPr="004C13E3">
        <w:rPr>
          <w:lang w:val="en-US"/>
        </w:rPr>
        <w:t xml:space="preserve"> </w:t>
      </w:r>
      <w:r w:rsidR="004C13E3" w:rsidRPr="004C13E3">
        <w:rPr>
          <w:lang w:val="en-US"/>
        </w:rPr>
        <w:t xml:space="preserve">some studies dedicated to museum-related </w:t>
      </w:r>
      <w:r w:rsidR="00B45EB5">
        <w:rPr>
          <w:lang w:val="en-US"/>
        </w:rPr>
        <w:t>issues</w:t>
      </w:r>
      <w:r w:rsidR="004C13E3" w:rsidRPr="004C13E3">
        <w:rPr>
          <w:lang w:val="en-US"/>
        </w:rPr>
        <w:t xml:space="preserve"> (or m</w:t>
      </w:r>
      <w:r w:rsidR="004C13E3">
        <w:rPr>
          <w:lang w:val="en-US"/>
        </w:rPr>
        <w:t xml:space="preserve">ore broadly, to </w:t>
      </w:r>
      <w:r w:rsidR="00826DD0">
        <w:rPr>
          <w:lang w:val="en-US"/>
        </w:rPr>
        <w:t xml:space="preserve">legal aspects of heritage preservation) represent a substantially theoretical approach. </w:t>
      </w:r>
    </w:p>
    <w:p w14:paraId="76386F56" w14:textId="5FD7F49D" w:rsidR="004C2449" w:rsidRPr="004C2449" w:rsidRDefault="004C2449" w:rsidP="000A1C61">
      <w:pPr>
        <w:ind w:firstLine="708"/>
        <w:jc w:val="both"/>
        <w:rPr>
          <w:lang w:val="en-US"/>
        </w:rPr>
      </w:pPr>
      <w:r w:rsidRPr="004C2449">
        <w:rPr>
          <w:lang w:val="en-US"/>
        </w:rPr>
        <w:t>In this case the s</w:t>
      </w:r>
      <w:r>
        <w:rPr>
          <w:lang w:val="en-US"/>
        </w:rPr>
        <w:t xml:space="preserve">ituation is different. </w:t>
      </w:r>
      <w:r w:rsidRPr="004C2449">
        <w:rPr>
          <w:lang w:val="en-US"/>
        </w:rPr>
        <w:t xml:space="preserve">A researcher at the </w:t>
      </w:r>
      <w:r w:rsidR="004B368B">
        <w:rPr>
          <w:lang w:val="en-US"/>
        </w:rPr>
        <w:t xml:space="preserve">Chair </w:t>
      </w:r>
      <w:r>
        <w:rPr>
          <w:lang w:val="en-US"/>
        </w:rPr>
        <w:t xml:space="preserve">of </w:t>
      </w:r>
      <w:r w:rsidR="00586C2A">
        <w:rPr>
          <w:lang w:val="en-US"/>
        </w:rPr>
        <w:t xml:space="preserve">Civil Law and </w:t>
      </w:r>
      <w:r w:rsidR="00B9706C">
        <w:rPr>
          <w:lang w:val="en-US"/>
        </w:rPr>
        <w:t>I</w:t>
      </w:r>
      <w:r w:rsidR="00586C2A">
        <w:rPr>
          <w:lang w:val="en-US"/>
        </w:rPr>
        <w:t>nternational Private Law at the Faculty of Law and Administration of the University of Silesia</w:t>
      </w:r>
      <w:r w:rsidR="00F3462E">
        <w:rPr>
          <w:lang w:val="en-US"/>
        </w:rPr>
        <w:t>, the Author</w:t>
      </w:r>
      <w:r w:rsidR="00586C2A">
        <w:rPr>
          <w:lang w:val="en-US"/>
        </w:rPr>
        <w:t xml:space="preserve"> </w:t>
      </w:r>
      <w:r w:rsidR="00676591">
        <w:rPr>
          <w:lang w:val="en-US"/>
        </w:rPr>
        <w:t xml:space="preserve">also works as a civil advisor. </w:t>
      </w:r>
      <w:r w:rsidR="004F44AB">
        <w:rPr>
          <w:lang w:val="en-US"/>
        </w:rPr>
        <w:t xml:space="preserve">This combination of an academic and practical approach to the topic is visible in the discussed study, adding to its worth. </w:t>
      </w:r>
    </w:p>
    <w:p w14:paraId="7E5A75C1" w14:textId="6E604250" w:rsidR="0027131A" w:rsidRPr="0027131A" w:rsidRDefault="00C87876" w:rsidP="000A1C61">
      <w:pPr>
        <w:ind w:firstLine="708"/>
        <w:jc w:val="both"/>
        <w:rPr>
          <w:lang w:val="en-US"/>
        </w:rPr>
      </w:pPr>
      <w:r w:rsidRPr="0027131A">
        <w:rPr>
          <w:lang w:val="en-US"/>
        </w:rPr>
        <w:t xml:space="preserve">Paulina </w:t>
      </w:r>
      <w:proofErr w:type="spellStart"/>
      <w:r w:rsidR="002E27F7" w:rsidRPr="0027131A">
        <w:rPr>
          <w:lang w:val="en-US"/>
        </w:rPr>
        <w:t>Gwoździewicz</w:t>
      </w:r>
      <w:proofErr w:type="spellEnd"/>
      <w:r w:rsidR="002E27F7" w:rsidRPr="0027131A">
        <w:rPr>
          <w:lang w:val="en-US"/>
        </w:rPr>
        <w:t>-Matan</w:t>
      </w:r>
      <w:r w:rsidR="00C61F9E" w:rsidRPr="0027131A">
        <w:rPr>
          <w:lang w:val="en-US"/>
        </w:rPr>
        <w:t xml:space="preserve"> </w:t>
      </w:r>
      <w:r w:rsidR="0027131A" w:rsidRPr="0027131A">
        <w:rPr>
          <w:lang w:val="en-US"/>
        </w:rPr>
        <w:t>observes in th</w:t>
      </w:r>
      <w:r w:rsidR="0027131A">
        <w:rPr>
          <w:lang w:val="en-US"/>
        </w:rPr>
        <w:t xml:space="preserve">e introduction that </w:t>
      </w:r>
      <w:r w:rsidR="0027131A">
        <w:rPr>
          <w:i/>
          <w:iCs/>
          <w:lang w:val="en-US"/>
        </w:rPr>
        <w:t xml:space="preserve">the issues of contracts concluded by museums are not closed exclusively within the sphere of private law regulations </w:t>
      </w:r>
      <w:r w:rsidR="0027131A">
        <w:rPr>
          <w:lang w:val="en-US"/>
        </w:rPr>
        <w:t>(p. 11)</w:t>
      </w:r>
      <w:r w:rsidR="003125F2">
        <w:rPr>
          <w:lang w:val="en-US"/>
        </w:rPr>
        <w:t>, following which she leads the reader through subsequent areas whose regulations have an impact on the content</w:t>
      </w:r>
      <w:r w:rsidR="00ED5D69">
        <w:rPr>
          <w:lang w:val="en-US"/>
        </w:rPr>
        <w:t xml:space="preserve"> and </w:t>
      </w:r>
      <w:r w:rsidR="000F5608">
        <w:rPr>
          <w:lang w:val="en-US"/>
        </w:rPr>
        <w:t>fulfillment of contracts.</w:t>
      </w:r>
    </w:p>
    <w:p w14:paraId="2DF572D6" w14:textId="5B6CD51A" w:rsidR="00BB0AA3" w:rsidRPr="003E0AA7" w:rsidRDefault="00BB0AA3" w:rsidP="000A1C61">
      <w:pPr>
        <w:ind w:firstLine="708"/>
        <w:jc w:val="both"/>
        <w:rPr>
          <w:lang w:val="en-US"/>
        </w:rPr>
      </w:pPr>
      <w:r w:rsidRPr="00BB0AA3">
        <w:rPr>
          <w:lang w:val="en-US"/>
        </w:rPr>
        <w:t>Specificity of public law i</w:t>
      </w:r>
      <w:r>
        <w:rPr>
          <w:lang w:val="en-US"/>
        </w:rPr>
        <w:t>s such that as a rule it is of imperative character</w:t>
      </w:r>
      <w:r w:rsidR="002B789C">
        <w:rPr>
          <w:lang w:val="en-US"/>
        </w:rPr>
        <w:t>,</w:t>
      </w:r>
      <w:r>
        <w:rPr>
          <w:lang w:val="en-US"/>
        </w:rPr>
        <w:t xml:space="preserve"> </w:t>
      </w:r>
      <w:r w:rsidR="003C24DA">
        <w:rPr>
          <w:lang w:val="en-US"/>
        </w:rPr>
        <w:t xml:space="preserve">which implies that it has a binding quality within a given matter even when it has not been </w:t>
      </w:r>
      <w:r w:rsidR="007F7B5F">
        <w:rPr>
          <w:lang w:val="en-US"/>
        </w:rPr>
        <w:t>specified by the parties in the contract</w:t>
      </w:r>
      <w:r w:rsidR="00B71ED3">
        <w:rPr>
          <w:lang w:val="en-US"/>
        </w:rPr>
        <w:t xml:space="preserve"> or has been regulated differently</w:t>
      </w:r>
      <w:r w:rsidR="003E0AA7">
        <w:rPr>
          <w:lang w:val="en-US"/>
        </w:rPr>
        <w:t xml:space="preserve">. </w:t>
      </w:r>
      <w:r w:rsidR="003E0AA7" w:rsidRPr="003E0AA7">
        <w:rPr>
          <w:lang w:val="en-US"/>
        </w:rPr>
        <w:t xml:space="preserve">It is all the more important for </w:t>
      </w:r>
      <w:r w:rsidR="00902EC5">
        <w:rPr>
          <w:lang w:val="en-US"/>
        </w:rPr>
        <w:t xml:space="preserve">museum staff </w:t>
      </w:r>
      <w:r w:rsidR="003E0AA7" w:rsidRPr="003E0AA7">
        <w:rPr>
          <w:lang w:val="en-US"/>
        </w:rPr>
        <w:t xml:space="preserve">dealing </w:t>
      </w:r>
      <w:r w:rsidR="003E0AA7">
        <w:rPr>
          <w:lang w:val="en-US"/>
        </w:rPr>
        <w:t>with contracts (</w:t>
      </w:r>
      <w:r w:rsidR="000B16D7">
        <w:rPr>
          <w:lang w:val="en-US"/>
        </w:rPr>
        <w:t>museum curators and lawyer</w:t>
      </w:r>
      <w:r w:rsidR="00DF3601">
        <w:rPr>
          <w:lang w:val="en-US"/>
        </w:rPr>
        <w:t>s responsible for the legal aspect of museum operations</w:t>
      </w:r>
      <w:r w:rsidR="00BE6503">
        <w:rPr>
          <w:lang w:val="en-US"/>
        </w:rPr>
        <w:t xml:space="preserve">) to be aware what </w:t>
      </w:r>
      <w:r w:rsidR="00DF6950">
        <w:rPr>
          <w:lang w:val="en-US"/>
        </w:rPr>
        <w:t xml:space="preserve">areas public-law regulations </w:t>
      </w:r>
      <w:r w:rsidR="0050743E">
        <w:rPr>
          <w:lang w:val="en-US"/>
        </w:rPr>
        <w:t>have an impact on.</w:t>
      </w:r>
    </w:p>
    <w:p w14:paraId="3E2051D5" w14:textId="188166AC" w:rsidR="0050743E" w:rsidRPr="00725979" w:rsidRDefault="0050743E" w:rsidP="000A1C61">
      <w:pPr>
        <w:ind w:firstLine="708"/>
        <w:jc w:val="both"/>
        <w:rPr>
          <w:lang w:val="en-US"/>
        </w:rPr>
      </w:pPr>
      <w:r w:rsidRPr="0050743E">
        <w:rPr>
          <w:lang w:val="en-US"/>
        </w:rPr>
        <w:t>The Author points to t</w:t>
      </w:r>
      <w:r>
        <w:rPr>
          <w:lang w:val="en-US"/>
        </w:rPr>
        <w:t xml:space="preserve">he fact </w:t>
      </w:r>
      <w:r w:rsidR="00F97BEC">
        <w:rPr>
          <w:lang w:val="en-US"/>
        </w:rPr>
        <w:t xml:space="preserve">that she does not </w:t>
      </w:r>
      <w:r w:rsidR="00CF33C3">
        <w:rPr>
          <w:lang w:val="en-US"/>
        </w:rPr>
        <w:t>deal with the whole range of appl</w:t>
      </w:r>
      <w:r w:rsidR="00CC1133">
        <w:rPr>
          <w:lang w:val="en-US"/>
        </w:rPr>
        <w:t xml:space="preserve">ications </w:t>
      </w:r>
      <w:r w:rsidR="00022F9F">
        <w:rPr>
          <w:lang w:val="en-US"/>
        </w:rPr>
        <w:t xml:space="preserve">of </w:t>
      </w:r>
      <w:r w:rsidR="00CF33C3">
        <w:rPr>
          <w:lang w:val="en-US"/>
        </w:rPr>
        <w:t xml:space="preserve">public law to </w:t>
      </w:r>
      <w:r w:rsidR="004C5774">
        <w:rPr>
          <w:lang w:val="en-US"/>
        </w:rPr>
        <w:t xml:space="preserve">museum operations, but </w:t>
      </w:r>
      <w:r w:rsidR="004C5774">
        <w:rPr>
          <w:i/>
          <w:iCs/>
          <w:lang w:val="en-US"/>
        </w:rPr>
        <w:t xml:space="preserve">only </w:t>
      </w:r>
      <w:r w:rsidR="009D7D41">
        <w:rPr>
          <w:i/>
          <w:iCs/>
          <w:lang w:val="en-US"/>
        </w:rPr>
        <w:t>with</w:t>
      </w:r>
      <w:r w:rsidR="004C5774">
        <w:rPr>
          <w:i/>
          <w:iCs/>
          <w:lang w:val="en-US"/>
        </w:rPr>
        <w:t xml:space="preserve"> </w:t>
      </w:r>
      <w:r w:rsidR="00A4773E">
        <w:rPr>
          <w:i/>
          <w:iCs/>
          <w:lang w:val="en-US"/>
        </w:rPr>
        <w:t xml:space="preserve">some </w:t>
      </w:r>
      <w:r w:rsidR="004C5774">
        <w:rPr>
          <w:i/>
          <w:iCs/>
          <w:lang w:val="en-US"/>
        </w:rPr>
        <w:t xml:space="preserve">selected issues connected with the specificity of </w:t>
      </w:r>
      <w:r w:rsidR="00AD5734">
        <w:rPr>
          <w:i/>
          <w:iCs/>
          <w:lang w:val="en-US"/>
        </w:rPr>
        <w:t xml:space="preserve">the operations run by museums focused on amassing and </w:t>
      </w:r>
      <w:r w:rsidR="00725979">
        <w:rPr>
          <w:i/>
          <w:iCs/>
          <w:lang w:val="en-US"/>
        </w:rPr>
        <w:t xml:space="preserve">preserving collections </w:t>
      </w:r>
      <w:r w:rsidR="00725979">
        <w:rPr>
          <w:lang w:val="en-US"/>
        </w:rPr>
        <w:t>(</w:t>
      </w:r>
      <w:r w:rsidR="006F3E2A">
        <w:rPr>
          <w:lang w:val="en-US"/>
        </w:rPr>
        <w:t>pp. 12-13)</w:t>
      </w:r>
      <w:r w:rsidR="00152794">
        <w:rPr>
          <w:lang w:val="en-US"/>
        </w:rPr>
        <w:t>.</w:t>
      </w:r>
    </w:p>
    <w:p w14:paraId="20F1E205" w14:textId="34CEE3A7" w:rsidR="00022F9F" w:rsidRPr="00022F9F" w:rsidRDefault="00022F9F" w:rsidP="000A1C61">
      <w:pPr>
        <w:ind w:firstLine="708"/>
        <w:jc w:val="both"/>
        <w:rPr>
          <w:lang w:val="en-US"/>
        </w:rPr>
      </w:pPr>
      <w:r w:rsidRPr="00022F9F">
        <w:rPr>
          <w:lang w:val="en-US"/>
        </w:rPr>
        <w:t>Chapter 1 d</w:t>
      </w:r>
      <w:r w:rsidR="00C3748C">
        <w:rPr>
          <w:lang w:val="en-US"/>
        </w:rPr>
        <w:t>e</w:t>
      </w:r>
      <w:r w:rsidRPr="00022F9F">
        <w:rPr>
          <w:lang w:val="en-US"/>
        </w:rPr>
        <w:t>scribes the legal st</w:t>
      </w:r>
      <w:r>
        <w:rPr>
          <w:lang w:val="en-US"/>
        </w:rPr>
        <w:t xml:space="preserve">atus of museums resulting from the provisions of the </w:t>
      </w:r>
      <w:r w:rsidR="000223D0">
        <w:rPr>
          <w:lang w:val="en-US"/>
        </w:rPr>
        <w:t xml:space="preserve">following: </w:t>
      </w:r>
      <w:r w:rsidR="0029176C">
        <w:rPr>
          <w:lang w:val="en-US"/>
        </w:rPr>
        <w:t>Act of 25 October 1991 on Organizing and Running Cultural Activity</w:t>
      </w:r>
      <w:r w:rsidR="00890E10">
        <w:rPr>
          <w:lang w:val="en-US"/>
        </w:rPr>
        <w:t>, Act o</w:t>
      </w:r>
      <w:r w:rsidR="006722A5">
        <w:rPr>
          <w:lang w:val="en-US"/>
        </w:rPr>
        <w:t>n Museums of 21 November 1996</w:t>
      </w:r>
      <w:r w:rsidR="00686387">
        <w:rPr>
          <w:lang w:val="en-US"/>
        </w:rPr>
        <w:t xml:space="preserve">, Act </w:t>
      </w:r>
      <w:r w:rsidR="0082086F">
        <w:rPr>
          <w:lang w:val="en-US"/>
        </w:rPr>
        <w:t>of 27 August 2009</w:t>
      </w:r>
      <w:r w:rsidR="00551B2A">
        <w:rPr>
          <w:lang w:val="en-US"/>
        </w:rPr>
        <w:t xml:space="preserve"> </w:t>
      </w:r>
      <w:r w:rsidR="00686387">
        <w:rPr>
          <w:lang w:val="en-US"/>
        </w:rPr>
        <w:t>on Public Finance</w:t>
      </w:r>
      <w:r w:rsidR="002B6219">
        <w:rPr>
          <w:lang w:val="en-US"/>
        </w:rPr>
        <w:t>, as well as various regulations related to business activity.</w:t>
      </w:r>
    </w:p>
    <w:p w14:paraId="2521387F" w14:textId="1058395B" w:rsidR="002B6219" w:rsidRPr="00BD38E7" w:rsidRDefault="004D5EB5" w:rsidP="000A1C61">
      <w:pPr>
        <w:ind w:firstLine="708"/>
        <w:jc w:val="both"/>
        <w:rPr>
          <w:lang w:val="en-US"/>
        </w:rPr>
      </w:pPr>
      <w:r w:rsidRPr="00AB4569">
        <w:rPr>
          <w:lang w:val="en-US"/>
        </w:rPr>
        <w:t>O</w:t>
      </w:r>
      <w:r w:rsidR="002A703C" w:rsidRPr="00AB4569">
        <w:rPr>
          <w:lang w:val="en-US"/>
        </w:rPr>
        <w:t xml:space="preserve">ne remark </w:t>
      </w:r>
      <w:r w:rsidR="001A6CFC" w:rsidRPr="00AB4569">
        <w:rPr>
          <w:lang w:val="en-US"/>
        </w:rPr>
        <w:t>on this p</w:t>
      </w:r>
      <w:r w:rsidR="001A6CFC">
        <w:rPr>
          <w:lang w:val="en-US"/>
        </w:rPr>
        <w:t>articular point: the Author mentions in her study the case of museums with no legal personality, namely those defined in Art. 6</w:t>
      </w:r>
      <w:r w:rsidR="009A0ECA">
        <w:rPr>
          <w:lang w:val="en-US"/>
        </w:rPr>
        <w:t xml:space="preserve">.6 of the Act on Museums which operate as sections of public institutions. </w:t>
      </w:r>
      <w:r w:rsidR="009A0ECA" w:rsidRPr="00BD38E7">
        <w:rPr>
          <w:lang w:val="en-US"/>
        </w:rPr>
        <w:t>They form an interesting</w:t>
      </w:r>
      <w:r w:rsidR="001A1F49" w:rsidRPr="00BD38E7">
        <w:rPr>
          <w:lang w:val="en-US"/>
        </w:rPr>
        <w:t xml:space="preserve">, albeit </w:t>
      </w:r>
      <w:r>
        <w:rPr>
          <w:lang w:val="en-US"/>
        </w:rPr>
        <w:t xml:space="preserve">not </w:t>
      </w:r>
      <w:r w:rsidR="00BD38E7" w:rsidRPr="00BD38E7">
        <w:rPr>
          <w:lang w:val="en-US"/>
        </w:rPr>
        <w:t xml:space="preserve">a </w:t>
      </w:r>
      <w:r w:rsidR="00BD38E7" w:rsidRPr="00BD38E7">
        <w:rPr>
          <w:lang w:val="en-US"/>
        </w:rPr>
        <w:lastRenderedPageBreak/>
        <w:t>heterogenous group composed o</w:t>
      </w:r>
      <w:r w:rsidR="00BD38E7">
        <w:rPr>
          <w:lang w:val="en-US"/>
        </w:rPr>
        <w:t xml:space="preserve">f several entities including </w:t>
      </w:r>
      <w:r w:rsidR="00CE3FCE">
        <w:rPr>
          <w:lang w:val="en-US"/>
        </w:rPr>
        <w:t xml:space="preserve">e.g., museums operating within state </w:t>
      </w:r>
      <w:r w:rsidR="00E0119F">
        <w:rPr>
          <w:lang w:val="en-US"/>
        </w:rPr>
        <w:t>cultural institutions</w:t>
      </w:r>
      <w:r w:rsidR="002B04D5">
        <w:rPr>
          <w:lang w:val="en-US"/>
        </w:rPr>
        <w:t>, such as the Fr</w:t>
      </w:r>
      <w:r w:rsidR="00A7478F">
        <w:rPr>
          <w:lang w:val="en-US"/>
        </w:rPr>
        <w:t>yderyk</w:t>
      </w:r>
      <w:r w:rsidR="002B04D5">
        <w:rPr>
          <w:lang w:val="en-US"/>
        </w:rPr>
        <w:t xml:space="preserve"> Chopin Museum which forms part of </w:t>
      </w:r>
      <w:r w:rsidR="006B2AC8">
        <w:rPr>
          <w:lang w:val="en-US"/>
        </w:rPr>
        <w:t xml:space="preserve">The Fryderyk </w:t>
      </w:r>
      <w:r w:rsidR="00DF5CCF">
        <w:rPr>
          <w:lang w:val="en-US"/>
        </w:rPr>
        <w:t>Chopin</w:t>
      </w:r>
      <w:r w:rsidR="006B2AC8">
        <w:rPr>
          <w:lang w:val="en-US"/>
        </w:rPr>
        <w:t xml:space="preserve"> Institute</w:t>
      </w:r>
      <w:r w:rsidR="0093307A">
        <w:rPr>
          <w:lang w:val="en-US"/>
        </w:rPr>
        <w:t xml:space="preserve">, or </w:t>
      </w:r>
      <w:r w:rsidR="005730A5">
        <w:rPr>
          <w:lang w:val="en-US"/>
        </w:rPr>
        <w:t xml:space="preserve">being part </w:t>
      </w:r>
      <w:r w:rsidR="0093307A">
        <w:rPr>
          <w:lang w:val="en-US"/>
        </w:rPr>
        <w:t xml:space="preserve">of public universities, such as the Museum of the Jagiellonian University. An important </w:t>
      </w:r>
      <w:r w:rsidR="006F4418">
        <w:rPr>
          <w:lang w:val="en-US"/>
        </w:rPr>
        <w:t>section</w:t>
      </w:r>
      <w:r w:rsidR="0093307A">
        <w:rPr>
          <w:lang w:val="en-US"/>
        </w:rPr>
        <w:t xml:space="preserve"> of the discussed public-law regulations </w:t>
      </w:r>
      <w:r w:rsidR="00F83B4B">
        <w:rPr>
          <w:lang w:val="en-US"/>
        </w:rPr>
        <w:t xml:space="preserve">shall apply to that kind of museums as it does to museums </w:t>
      </w:r>
      <w:r w:rsidR="00654E5D">
        <w:rPr>
          <w:lang w:val="en-US"/>
        </w:rPr>
        <w:t>that</w:t>
      </w:r>
      <w:r w:rsidR="00F83B4B">
        <w:rPr>
          <w:lang w:val="en-US"/>
        </w:rPr>
        <w:t xml:space="preserve"> are cultural institutions, </w:t>
      </w:r>
      <w:r w:rsidR="008C2749">
        <w:rPr>
          <w:lang w:val="en-US"/>
        </w:rPr>
        <w:t xml:space="preserve">which, in my opinion, has not been </w:t>
      </w:r>
      <w:r w:rsidR="00A907D0">
        <w:rPr>
          <w:lang w:val="en-US"/>
        </w:rPr>
        <w:t>clearly pointed t</w:t>
      </w:r>
      <w:r w:rsidR="00AA0292">
        <w:rPr>
          <w:lang w:val="en-US"/>
        </w:rPr>
        <w:t>o in the study</w:t>
      </w:r>
      <w:r w:rsidR="00A907D0">
        <w:rPr>
          <w:lang w:val="en-US"/>
        </w:rPr>
        <w:t>.</w:t>
      </w:r>
    </w:p>
    <w:p w14:paraId="5D75BFCC" w14:textId="7B6EC452" w:rsidR="009702D2" w:rsidRPr="009702D2" w:rsidRDefault="009702D2" w:rsidP="000A1C61">
      <w:pPr>
        <w:ind w:firstLine="708"/>
        <w:jc w:val="both"/>
        <w:rPr>
          <w:lang w:val="en-US"/>
        </w:rPr>
      </w:pPr>
      <w:r w:rsidRPr="009702D2">
        <w:rPr>
          <w:lang w:val="en-US"/>
        </w:rPr>
        <w:t>In</w:t>
      </w:r>
      <w:r w:rsidR="003D247F">
        <w:rPr>
          <w:lang w:val="en-US"/>
        </w:rPr>
        <w:t xml:space="preserve"> the</w:t>
      </w:r>
      <w:r w:rsidRPr="009702D2">
        <w:rPr>
          <w:lang w:val="en-US"/>
        </w:rPr>
        <w:t xml:space="preserve"> chapter</w:t>
      </w:r>
      <w:r w:rsidR="004F58CC">
        <w:rPr>
          <w:lang w:val="en-US"/>
        </w:rPr>
        <w:t>s</w:t>
      </w:r>
      <w:r w:rsidRPr="009702D2">
        <w:rPr>
          <w:lang w:val="en-US"/>
        </w:rPr>
        <w:t xml:space="preserve"> </w:t>
      </w:r>
      <w:r w:rsidR="003D247F">
        <w:rPr>
          <w:lang w:val="en-US"/>
        </w:rPr>
        <w:t xml:space="preserve">to follow </w:t>
      </w:r>
      <w:proofErr w:type="spellStart"/>
      <w:r w:rsidRPr="009702D2">
        <w:rPr>
          <w:lang w:val="en-US"/>
        </w:rPr>
        <w:t>Gwoździewicz</w:t>
      </w:r>
      <w:proofErr w:type="spellEnd"/>
      <w:r w:rsidRPr="009702D2">
        <w:rPr>
          <w:lang w:val="en-US"/>
        </w:rPr>
        <w:t>-M</w:t>
      </w:r>
      <w:r>
        <w:rPr>
          <w:lang w:val="en-US"/>
        </w:rPr>
        <w:t xml:space="preserve">atan analyses the impact of </w:t>
      </w:r>
      <w:r w:rsidR="004E24FB">
        <w:rPr>
          <w:lang w:val="en-US"/>
        </w:rPr>
        <w:t xml:space="preserve">subsequent regulations </w:t>
      </w:r>
      <w:r w:rsidR="008E2626">
        <w:rPr>
          <w:lang w:val="en-US"/>
        </w:rPr>
        <w:t xml:space="preserve">of public law on the contracts concluded by </w:t>
      </w:r>
      <w:r w:rsidR="00FC2FF4">
        <w:rPr>
          <w:lang w:val="en-US"/>
        </w:rPr>
        <w:t>museums</w:t>
      </w:r>
      <w:r w:rsidR="00681179">
        <w:rPr>
          <w:lang w:val="en-US"/>
        </w:rPr>
        <w:t>,</w:t>
      </w:r>
      <w:r w:rsidR="00FC2FF4">
        <w:rPr>
          <w:lang w:val="en-US"/>
        </w:rPr>
        <w:t xml:space="preserve"> beginning </w:t>
      </w:r>
      <w:r w:rsidR="00F2607D">
        <w:rPr>
          <w:lang w:val="en-US"/>
        </w:rPr>
        <w:t xml:space="preserve">with the basic act, namely the Act on Museums. </w:t>
      </w:r>
    </w:p>
    <w:p w14:paraId="4B5D9D2A" w14:textId="3F4B29EE" w:rsidR="00821C34" w:rsidRPr="00821C34" w:rsidRDefault="00821C34" w:rsidP="008067B7">
      <w:pPr>
        <w:ind w:firstLine="708"/>
        <w:jc w:val="both"/>
        <w:rPr>
          <w:lang w:val="en-US"/>
        </w:rPr>
      </w:pPr>
      <w:r w:rsidRPr="00821C34">
        <w:rPr>
          <w:lang w:val="en-US"/>
        </w:rPr>
        <w:t>Worth underlying here is a</w:t>
      </w:r>
      <w:r>
        <w:rPr>
          <w:lang w:val="en-US"/>
        </w:rPr>
        <w:t xml:space="preserve"> very important practical aspect of the remarks concerning Art. 23 of the Act on Museums </w:t>
      </w:r>
      <w:r w:rsidR="00F23904">
        <w:rPr>
          <w:lang w:val="en-US"/>
        </w:rPr>
        <w:t xml:space="preserve">(providing the requirement to obtain consent of the minister responsible for culture and national heritage in order to carry out exchange, sale, or donation of museum </w:t>
      </w:r>
      <w:r w:rsidR="00BB4F1D">
        <w:rPr>
          <w:lang w:val="en-US"/>
        </w:rPr>
        <w:t xml:space="preserve">objects that needs to be granted to state </w:t>
      </w:r>
      <w:r w:rsidR="00DD7EED">
        <w:rPr>
          <w:lang w:val="en-US"/>
        </w:rPr>
        <w:t>and local government museums) in the context which at first sight</w:t>
      </w:r>
      <w:r w:rsidR="00417393">
        <w:rPr>
          <w:lang w:val="en-US"/>
        </w:rPr>
        <w:t xml:space="preserve"> may seem surprising, namely </w:t>
      </w:r>
      <w:r w:rsidR="008642CA">
        <w:rPr>
          <w:lang w:val="en-US"/>
        </w:rPr>
        <w:t xml:space="preserve">of </w:t>
      </w:r>
      <w:r w:rsidR="00417393">
        <w:rPr>
          <w:lang w:val="en-US"/>
        </w:rPr>
        <w:t xml:space="preserve">insuring </w:t>
      </w:r>
      <w:r w:rsidR="008642CA">
        <w:rPr>
          <w:lang w:val="en-US"/>
        </w:rPr>
        <w:t xml:space="preserve">a </w:t>
      </w:r>
      <w:r w:rsidR="00417393">
        <w:rPr>
          <w:lang w:val="en-US"/>
        </w:rPr>
        <w:t xml:space="preserve">collection. What is meant here is </w:t>
      </w:r>
      <w:r w:rsidR="009473B6">
        <w:rPr>
          <w:lang w:val="en-US"/>
        </w:rPr>
        <w:t>the Recovered Property Clause</w:t>
      </w:r>
      <w:r w:rsidR="00AB464E">
        <w:rPr>
          <w:lang w:val="en-US"/>
        </w:rPr>
        <w:t xml:space="preserve"> often to be found in the </w:t>
      </w:r>
      <w:r w:rsidR="007A2A68">
        <w:rPr>
          <w:lang w:val="en-US"/>
        </w:rPr>
        <w:t>G</w:t>
      </w:r>
      <w:r w:rsidR="00AB464E">
        <w:rPr>
          <w:lang w:val="en-US"/>
        </w:rPr>
        <w:t xml:space="preserve">eneral </w:t>
      </w:r>
      <w:r w:rsidR="007A2A68">
        <w:rPr>
          <w:lang w:val="en-US"/>
        </w:rPr>
        <w:t>I</w:t>
      </w:r>
      <w:r w:rsidR="00AB464E">
        <w:rPr>
          <w:lang w:val="en-US"/>
        </w:rPr>
        <w:t xml:space="preserve">nsurance </w:t>
      </w:r>
      <w:r w:rsidR="007A2A68">
        <w:rPr>
          <w:lang w:val="en-US"/>
        </w:rPr>
        <w:t>C</w:t>
      </w:r>
      <w:r w:rsidR="00AB464E">
        <w:rPr>
          <w:lang w:val="en-US"/>
        </w:rPr>
        <w:t>onditions</w:t>
      </w:r>
      <w:r w:rsidR="0002682C">
        <w:rPr>
          <w:lang w:val="en-US"/>
        </w:rPr>
        <w:t xml:space="preserve">, in practice implying that </w:t>
      </w:r>
      <w:r w:rsidR="009428E6">
        <w:rPr>
          <w:lang w:val="en-US"/>
        </w:rPr>
        <w:t xml:space="preserve">following the pay out of the loss settlement amount </w:t>
      </w:r>
      <w:r w:rsidR="0090741D">
        <w:rPr>
          <w:lang w:val="en-US"/>
        </w:rPr>
        <w:t>the ownership of the insured object pass</w:t>
      </w:r>
      <w:r w:rsidR="0083078E">
        <w:rPr>
          <w:lang w:val="en-US"/>
        </w:rPr>
        <w:t>es</w:t>
      </w:r>
      <w:r w:rsidR="0090741D">
        <w:rPr>
          <w:lang w:val="en-US"/>
        </w:rPr>
        <w:t xml:space="preserve"> onto the insurer (in the event of its recovery)</w:t>
      </w:r>
      <w:r w:rsidR="008C493B">
        <w:rPr>
          <w:lang w:val="en-US"/>
        </w:rPr>
        <w:t xml:space="preserve">. Obviously, it is in the interest of museums not </w:t>
      </w:r>
      <w:r w:rsidR="00A3746B">
        <w:rPr>
          <w:lang w:val="en-US"/>
        </w:rPr>
        <w:t xml:space="preserve">to sign insurance contracts including </w:t>
      </w:r>
      <w:r w:rsidR="008067B7">
        <w:rPr>
          <w:lang w:val="en-US"/>
        </w:rPr>
        <w:t xml:space="preserve">such a </w:t>
      </w:r>
      <w:r w:rsidR="00A3746B">
        <w:rPr>
          <w:lang w:val="en-US"/>
        </w:rPr>
        <w:t>Clause.</w:t>
      </w:r>
    </w:p>
    <w:p w14:paraId="7DD62E9A" w14:textId="5388539E" w:rsidR="00A3746B" w:rsidRPr="001C07BD" w:rsidRDefault="00A3746B" w:rsidP="000A1C61">
      <w:pPr>
        <w:ind w:firstLine="708"/>
        <w:jc w:val="both"/>
        <w:rPr>
          <w:lang w:val="en-US"/>
        </w:rPr>
      </w:pPr>
      <w:r w:rsidRPr="00A3746B">
        <w:rPr>
          <w:lang w:val="en-US"/>
        </w:rPr>
        <w:t xml:space="preserve">Further on, </w:t>
      </w:r>
      <w:r w:rsidR="00DC1316">
        <w:rPr>
          <w:lang w:val="en-US"/>
        </w:rPr>
        <w:t xml:space="preserve">in the context of contracts concluded by museums, </w:t>
      </w:r>
      <w:r w:rsidRPr="00A3746B">
        <w:rPr>
          <w:lang w:val="en-US"/>
        </w:rPr>
        <w:t>the Author a</w:t>
      </w:r>
      <w:r>
        <w:rPr>
          <w:lang w:val="en-US"/>
        </w:rPr>
        <w:t xml:space="preserve">nalyses </w:t>
      </w:r>
      <w:r w:rsidR="00CF3DCE">
        <w:rPr>
          <w:lang w:val="en-US"/>
        </w:rPr>
        <w:t>the Public Procurement Law of 11 September 2019</w:t>
      </w:r>
      <w:r w:rsidR="00DC1316">
        <w:rPr>
          <w:lang w:val="en-US"/>
        </w:rPr>
        <w:t xml:space="preserve"> </w:t>
      </w:r>
      <w:r w:rsidR="006B099A">
        <w:rPr>
          <w:lang w:val="en-US"/>
        </w:rPr>
        <w:t xml:space="preserve">as well as </w:t>
      </w:r>
      <w:r w:rsidR="00A1762D">
        <w:rPr>
          <w:lang w:val="en-US"/>
        </w:rPr>
        <w:t xml:space="preserve">tax </w:t>
      </w:r>
      <w:r w:rsidR="006B099A">
        <w:rPr>
          <w:lang w:val="en-US"/>
        </w:rPr>
        <w:t>regulations</w:t>
      </w:r>
      <w:r w:rsidR="00A1762D">
        <w:rPr>
          <w:lang w:val="en-US"/>
        </w:rPr>
        <w:t xml:space="preserve"> (Act of 15 February 1992 on </w:t>
      </w:r>
      <w:r w:rsidR="00080527">
        <w:rPr>
          <w:lang w:val="en-US"/>
        </w:rPr>
        <w:t xml:space="preserve">Corporate </w:t>
      </w:r>
      <w:r w:rsidR="00A1762D">
        <w:rPr>
          <w:lang w:val="en-US"/>
        </w:rPr>
        <w:t>Income Ta</w:t>
      </w:r>
      <w:r w:rsidR="001545D3">
        <w:rPr>
          <w:lang w:val="en-US"/>
        </w:rPr>
        <w:t>x</w:t>
      </w:r>
      <w:r w:rsidR="00080527">
        <w:rPr>
          <w:lang w:val="en-US"/>
        </w:rPr>
        <w:t>, Act o</w:t>
      </w:r>
      <w:r w:rsidR="005B4699">
        <w:rPr>
          <w:lang w:val="en-US"/>
        </w:rPr>
        <w:t>f</w:t>
      </w:r>
      <w:r w:rsidR="00080527">
        <w:rPr>
          <w:lang w:val="en-US"/>
        </w:rPr>
        <w:t xml:space="preserve"> </w:t>
      </w:r>
      <w:r w:rsidR="00D36C29">
        <w:rPr>
          <w:lang w:val="en-US"/>
        </w:rPr>
        <w:t>26 July 1991 on Personal Income Tax</w:t>
      </w:r>
      <w:r w:rsidR="007D6AF4">
        <w:rPr>
          <w:lang w:val="en-US"/>
        </w:rPr>
        <w:t xml:space="preserve">, Act of 11 March 2004 on </w:t>
      </w:r>
      <w:r w:rsidR="0011383E">
        <w:rPr>
          <w:lang w:val="en-US"/>
        </w:rPr>
        <w:t xml:space="preserve">Tax on </w:t>
      </w:r>
      <w:r w:rsidR="004F72EC">
        <w:rPr>
          <w:lang w:val="en-US"/>
        </w:rPr>
        <w:t>Goods and Services</w:t>
      </w:r>
      <w:r w:rsidR="00191F87">
        <w:rPr>
          <w:lang w:val="en-US"/>
        </w:rPr>
        <w:t xml:space="preserve">, Act of 9 September 2000 on </w:t>
      </w:r>
      <w:r w:rsidR="00111783">
        <w:rPr>
          <w:lang w:val="en-US"/>
        </w:rPr>
        <w:t>Tax on Civil-law Act</w:t>
      </w:r>
      <w:r w:rsidR="00351239">
        <w:rPr>
          <w:lang w:val="en-US"/>
        </w:rPr>
        <w:t>ivities</w:t>
      </w:r>
      <w:r w:rsidR="00964F1E">
        <w:rPr>
          <w:lang w:val="en-US"/>
        </w:rPr>
        <w:t xml:space="preserve">, and the Act of 28 July 1983 on </w:t>
      </w:r>
      <w:r w:rsidR="006F4E52">
        <w:rPr>
          <w:lang w:val="en-US"/>
        </w:rPr>
        <w:t>Tax on Inheritance and Donations</w:t>
      </w:r>
      <w:r w:rsidR="008F7A76">
        <w:rPr>
          <w:lang w:val="en-US"/>
        </w:rPr>
        <w:t xml:space="preserve">). </w:t>
      </w:r>
      <w:r w:rsidR="002A581F" w:rsidRPr="00AC5D1F">
        <w:rPr>
          <w:lang w:val="en-US"/>
        </w:rPr>
        <w:t xml:space="preserve">What I find important is the reference to </w:t>
      </w:r>
      <w:r w:rsidR="00AC5D1F" w:rsidRPr="00AC5D1F">
        <w:rPr>
          <w:lang w:val="en-US"/>
        </w:rPr>
        <w:t>Art.4.1.9c o</w:t>
      </w:r>
      <w:r w:rsidR="00AC5D1F">
        <w:rPr>
          <w:lang w:val="en-US"/>
        </w:rPr>
        <w:t xml:space="preserve">f the Act on </w:t>
      </w:r>
      <w:r w:rsidR="00903445">
        <w:rPr>
          <w:lang w:val="en-US"/>
        </w:rPr>
        <w:t xml:space="preserve">Tax on Inheritance and Donations stipulating </w:t>
      </w:r>
      <w:r w:rsidR="00A41152">
        <w:rPr>
          <w:lang w:val="en-US"/>
        </w:rPr>
        <w:t xml:space="preserve">this tax exemption in the event of inheritance </w:t>
      </w:r>
      <w:r w:rsidR="006B3CC1">
        <w:rPr>
          <w:lang w:val="en-US"/>
        </w:rPr>
        <w:t xml:space="preserve">or acquisition through </w:t>
      </w:r>
      <w:r w:rsidR="00641045">
        <w:rPr>
          <w:lang w:val="en-US"/>
        </w:rPr>
        <w:t xml:space="preserve">a specific bequest of movable </w:t>
      </w:r>
      <w:r w:rsidR="00F71AF6">
        <w:rPr>
          <w:lang w:val="en-US"/>
        </w:rPr>
        <w:t xml:space="preserve">heritage items and collections entered into </w:t>
      </w:r>
      <w:r w:rsidR="003A193E">
        <w:rPr>
          <w:lang w:val="en-US"/>
        </w:rPr>
        <w:t>the</w:t>
      </w:r>
      <w:r w:rsidR="0099410F">
        <w:rPr>
          <w:lang w:val="en-US"/>
        </w:rPr>
        <w:t xml:space="preserve"> register of </w:t>
      </w:r>
      <w:r w:rsidR="00F71AF6">
        <w:rPr>
          <w:lang w:val="en-US"/>
        </w:rPr>
        <w:t xml:space="preserve">listed historic </w:t>
      </w:r>
      <w:r w:rsidR="0099410F">
        <w:rPr>
          <w:lang w:val="en-US"/>
        </w:rPr>
        <w:t>pieces</w:t>
      </w:r>
      <w:r w:rsidR="00123FA3">
        <w:rPr>
          <w:lang w:val="en-US"/>
        </w:rPr>
        <w:t xml:space="preserve">, as well as heritage pieces </w:t>
      </w:r>
      <w:r w:rsidR="0050754C">
        <w:rPr>
          <w:lang w:val="en-US"/>
        </w:rPr>
        <w:t>rented to a museum for study or display for a period not shorter than two years</w:t>
      </w:r>
      <w:r w:rsidR="001C07BD">
        <w:rPr>
          <w:lang w:val="en-US"/>
        </w:rPr>
        <w:t xml:space="preserve">. </w:t>
      </w:r>
      <w:r w:rsidR="001C07BD" w:rsidRPr="001C07BD">
        <w:rPr>
          <w:lang w:val="en-US"/>
        </w:rPr>
        <w:t>I have a feeling that this regulation is not w</w:t>
      </w:r>
      <w:r w:rsidR="001C07BD">
        <w:rPr>
          <w:lang w:val="en-US"/>
        </w:rPr>
        <w:t xml:space="preserve">idely </w:t>
      </w:r>
      <w:r w:rsidR="0084704F">
        <w:rPr>
          <w:lang w:val="en-US"/>
        </w:rPr>
        <w:t xml:space="preserve">known, and it may </w:t>
      </w:r>
      <w:r w:rsidR="009B3B09">
        <w:rPr>
          <w:lang w:val="en-US"/>
        </w:rPr>
        <w:t xml:space="preserve">clearly </w:t>
      </w:r>
      <w:r w:rsidR="0084704F">
        <w:rPr>
          <w:lang w:val="en-US"/>
        </w:rPr>
        <w:t>encourage</w:t>
      </w:r>
      <w:r w:rsidR="009B3B09">
        <w:rPr>
          <w:lang w:val="en-US"/>
        </w:rPr>
        <w:t xml:space="preserve"> physical persons to place deposits with museums. </w:t>
      </w:r>
    </w:p>
    <w:p w14:paraId="04EDA7BE" w14:textId="0B29366A" w:rsidR="00C143D9" w:rsidRPr="00C143D9" w:rsidRDefault="00C143D9" w:rsidP="000A1C61">
      <w:pPr>
        <w:ind w:firstLine="708"/>
        <w:jc w:val="both"/>
        <w:rPr>
          <w:lang w:val="en-US"/>
        </w:rPr>
      </w:pPr>
      <w:r w:rsidRPr="00C143D9">
        <w:rPr>
          <w:lang w:val="en-US"/>
        </w:rPr>
        <w:t>What leaves the reader s</w:t>
      </w:r>
      <w:r>
        <w:rPr>
          <w:lang w:val="en-US"/>
        </w:rPr>
        <w:t xml:space="preserve">lightly </w:t>
      </w:r>
      <w:r w:rsidR="00B7059C">
        <w:rPr>
          <w:lang w:val="en-US"/>
        </w:rPr>
        <w:t xml:space="preserve">unsatisfied </w:t>
      </w:r>
      <w:r w:rsidR="00C57666">
        <w:rPr>
          <w:lang w:val="en-US"/>
        </w:rPr>
        <w:t xml:space="preserve">is the </w:t>
      </w:r>
      <w:r w:rsidR="00707E38">
        <w:rPr>
          <w:lang w:val="en-US"/>
        </w:rPr>
        <w:t xml:space="preserve">merely </w:t>
      </w:r>
      <w:r w:rsidR="003F3EA8">
        <w:rPr>
          <w:lang w:val="en-US"/>
        </w:rPr>
        <w:t xml:space="preserve">mentioned </w:t>
      </w:r>
      <w:r w:rsidR="0017754D">
        <w:rPr>
          <w:lang w:val="en-US"/>
        </w:rPr>
        <w:t>application of the so-called VAT pre-coefficient applied by museum</w:t>
      </w:r>
      <w:r w:rsidR="00B64E58">
        <w:rPr>
          <w:lang w:val="en-US"/>
        </w:rPr>
        <w:t>s, namely the proportion of the deduction of VAT</w:t>
      </w:r>
      <w:r w:rsidR="004F1A8E">
        <w:rPr>
          <w:lang w:val="en-US"/>
        </w:rPr>
        <w:t xml:space="preserve"> calculated on </w:t>
      </w:r>
      <w:r w:rsidR="00CB7CA6">
        <w:rPr>
          <w:lang w:val="en-US"/>
        </w:rPr>
        <w:t xml:space="preserve">the </w:t>
      </w:r>
      <w:r w:rsidR="004F1A8E">
        <w:rPr>
          <w:lang w:val="en-US"/>
        </w:rPr>
        <w:t>expenses incurred by museum operations</w:t>
      </w:r>
      <w:r w:rsidR="00971F2E">
        <w:rPr>
          <w:lang w:val="en-US"/>
        </w:rPr>
        <w:t>:</w:t>
      </w:r>
      <w:r w:rsidR="004F1A8E">
        <w:rPr>
          <w:lang w:val="en-US"/>
        </w:rPr>
        <w:t xml:space="preserve"> both </w:t>
      </w:r>
      <w:r w:rsidR="007F7C63">
        <w:rPr>
          <w:lang w:val="en-US"/>
        </w:rPr>
        <w:t xml:space="preserve">VAT taxable and </w:t>
      </w:r>
      <w:r w:rsidR="00A86236">
        <w:rPr>
          <w:lang w:val="en-US"/>
        </w:rPr>
        <w:t xml:space="preserve">Vat </w:t>
      </w:r>
      <w:r w:rsidR="007F7C63">
        <w:rPr>
          <w:lang w:val="en-US"/>
        </w:rPr>
        <w:t>no</w:t>
      </w:r>
      <w:r w:rsidR="00971F2E">
        <w:rPr>
          <w:lang w:val="en-US"/>
        </w:rPr>
        <w:t>n</w:t>
      </w:r>
      <w:r w:rsidR="00A86236">
        <w:rPr>
          <w:lang w:val="en-US"/>
        </w:rPr>
        <w:t>-</w:t>
      </w:r>
      <w:r w:rsidR="007F7C63">
        <w:rPr>
          <w:lang w:val="en-US"/>
        </w:rPr>
        <w:t xml:space="preserve">taxable. </w:t>
      </w:r>
      <w:r w:rsidR="00BC201A">
        <w:rPr>
          <w:lang w:val="en-US"/>
        </w:rPr>
        <w:t>The topi</w:t>
      </w:r>
      <w:r w:rsidR="00E32468">
        <w:rPr>
          <w:lang w:val="en-US"/>
        </w:rPr>
        <w:t>c</w:t>
      </w:r>
      <w:r w:rsidR="00BC201A">
        <w:rPr>
          <w:lang w:val="en-US"/>
        </w:rPr>
        <w:t xml:space="preserve"> is widely </w:t>
      </w:r>
      <w:r w:rsidR="00F9468E">
        <w:rPr>
          <w:lang w:val="en-US"/>
        </w:rPr>
        <w:t>present in the judicature of administrative courts, causing numerous practical problems in museum operations</w:t>
      </w:r>
      <w:r w:rsidR="009A6728">
        <w:rPr>
          <w:lang w:val="en-US"/>
        </w:rPr>
        <w:t>.</w:t>
      </w:r>
    </w:p>
    <w:p w14:paraId="48570906" w14:textId="16207F45" w:rsidR="00E75E6E" w:rsidRPr="00E75E6E" w:rsidRDefault="00A6605E" w:rsidP="000A1C61">
      <w:pPr>
        <w:ind w:firstLine="708"/>
        <w:jc w:val="both"/>
        <w:rPr>
          <w:lang w:val="en-US"/>
        </w:rPr>
      </w:pPr>
      <w:r>
        <w:rPr>
          <w:iCs/>
          <w:lang w:val="en-GB"/>
        </w:rPr>
        <w:t xml:space="preserve">What follows in the next </w:t>
      </w:r>
      <w:r w:rsidR="00E75E6E" w:rsidRPr="0037067F">
        <w:rPr>
          <w:iCs/>
          <w:lang w:val="en-GB"/>
        </w:rPr>
        <w:t>chapters</w:t>
      </w:r>
      <w:r w:rsidR="001079CB">
        <w:rPr>
          <w:iCs/>
          <w:lang w:val="en-GB"/>
        </w:rPr>
        <w:t xml:space="preserve"> is the discussion of</w:t>
      </w:r>
      <w:r w:rsidR="00E75E6E" w:rsidRPr="0037067F">
        <w:rPr>
          <w:iCs/>
          <w:lang w:val="en-GB"/>
        </w:rPr>
        <w:t xml:space="preserve"> the application of the provisions of the Act </w:t>
      </w:r>
      <w:r w:rsidR="008E46D3">
        <w:rPr>
          <w:iCs/>
          <w:lang w:val="en-GB"/>
        </w:rPr>
        <w:t xml:space="preserve">of 10 May 2018 </w:t>
      </w:r>
      <w:r w:rsidR="00E75E6E" w:rsidRPr="0037067F">
        <w:rPr>
          <w:iCs/>
          <w:lang w:val="en-GB"/>
        </w:rPr>
        <w:t xml:space="preserve">on the Security of Personal Data and regulations concerning the </w:t>
      </w:r>
      <w:r w:rsidR="00E75E6E" w:rsidRPr="00184140">
        <w:rPr>
          <w:iCs/>
          <w:lang w:val="en-GB"/>
        </w:rPr>
        <w:t xml:space="preserve">disclosure of contracts </w:t>
      </w:r>
      <w:r w:rsidR="003133A4" w:rsidRPr="00184140">
        <w:rPr>
          <w:iCs/>
          <w:lang w:val="en-GB"/>
        </w:rPr>
        <w:t xml:space="preserve">concluded </w:t>
      </w:r>
      <w:r w:rsidR="00E75E6E" w:rsidRPr="00184140">
        <w:rPr>
          <w:iCs/>
          <w:lang w:val="en-GB"/>
        </w:rPr>
        <w:t>by the museums which are public sector units</w:t>
      </w:r>
      <w:r w:rsidR="008E282D" w:rsidRPr="00184140">
        <w:rPr>
          <w:iCs/>
          <w:lang w:val="en-GB"/>
        </w:rPr>
        <w:t xml:space="preserve"> in the register run by the Minister of Finance</w:t>
      </w:r>
      <w:r w:rsidR="005E264D" w:rsidRPr="00184140">
        <w:rPr>
          <w:iCs/>
          <w:lang w:val="en-GB"/>
        </w:rPr>
        <w:t xml:space="preserve"> (in compliance with Art. 34</w:t>
      </w:r>
      <w:r w:rsidR="00B40564" w:rsidRPr="00184140">
        <w:rPr>
          <w:iCs/>
          <w:lang w:val="en-GB"/>
        </w:rPr>
        <w:t xml:space="preserve">a of the Act on Public Finance </w:t>
      </w:r>
      <w:r w:rsidR="00FB15BB" w:rsidRPr="00184140">
        <w:rPr>
          <w:iCs/>
          <w:lang w:val="en-GB"/>
        </w:rPr>
        <w:t>meant to enter into force on 1 January 2024</w:t>
      </w:r>
      <w:r w:rsidR="0066258E" w:rsidRPr="00184140">
        <w:rPr>
          <w:iCs/>
          <w:lang w:val="en-GB"/>
        </w:rPr>
        <w:t>, taking</w:t>
      </w:r>
      <w:r w:rsidR="0066258E">
        <w:rPr>
          <w:iCs/>
          <w:lang w:val="en-GB"/>
        </w:rPr>
        <w:t xml:space="preserve"> into account the exceptions specified in the Act on Organizing and Running Cultural Activity</w:t>
      </w:r>
      <w:r w:rsidR="00365DBF">
        <w:rPr>
          <w:iCs/>
          <w:lang w:val="en-GB"/>
        </w:rPr>
        <w:t>.</w:t>
      </w:r>
      <w:r w:rsidR="004944E8">
        <w:rPr>
          <w:iCs/>
          <w:lang w:val="en-GB"/>
        </w:rPr>
        <w:t xml:space="preserve"> It would be recommendable for other editions of th</w:t>
      </w:r>
      <w:r w:rsidR="00E06F89">
        <w:rPr>
          <w:iCs/>
          <w:lang w:val="en-GB"/>
        </w:rPr>
        <w:t>e discussed</w:t>
      </w:r>
      <w:r w:rsidR="004944E8">
        <w:rPr>
          <w:iCs/>
          <w:lang w:val="en-GB"/>
        </w:rPr>
        <w:t xml:space="preserve"> publication to supplement this aspect </w:t>
      </w:r>
      <w:r w:rsidR="00421330">
        <w:rPr>
          <w:iCs/>
          <w:lang w:val="en-GB"/>
        </w:rPr>
        <w:t xml:space="preserve">with pointing to other grounds </w:t>
      </w:r>
      <w:r w:rsidR="00491115">
        <w:rPr>
          <w:iCs/>
          <w:lang w:val="en-GB"/>
        </w:rPr>
        <w:t xml:space="preserve">allowing </w:t>
      </w:r>
      <w:r w:rsidR="00421330">
        <w:rPr>
          <w:iCs/>
          <w:lang w:val="en-GB"/>
        </w:rPr>
        <w:t>to refuse to share information in compliance with the stipulation</w:t>
      </w:r>
      <w:r w:rsidR="006D1917">
        <w:rPr>
          <w:iCs/>
          <w:lang w:val="en-GB"/>
        </w:rPr>
        <w:t>s</w:t>
      </w:r>
      <w:r w:rsidR="00421330">
        <w:rPr>
          <w:iCs/>
          <w:lang w:val="en-GB"/>
        </w:rPr>
        <w:t xml:space="preserve"> of the Act of 6 September 200</w:t>
      </w:r>
      <w:r w:rsidR="00AB618A">
        <w:rPr>
          <w:iCs/>
          <w:lang w:val="en-GB"/>
        </w:rPr>
        <w:t>1</w:t>
      </w:r>
      <w:r w:rsidR="00B0743D">
        <w:rPr>
          <w:iCs/>
          <w:lang w:val="en-GB"/>
        </w:rPr>
        <w:t xml:space="preserve"> </w:t>
      </w:r>
      <w:r w:rsidR="00FF68C7">
        <w:rPr>
          <w:iCs/>
          <w:lang w:val="en-GB"/>
        </w:rPr>
        <w:t xml:space="preserve">on Access to Public Information, particularly using </w:t>
      </w:r>
      <w:r w:rsidR="00FA5F5E">
        <w:rPr>
          <w:iCs/>
          <w:lang w:val="en-GB"/>
        </w:rPr>
        <w:t xml:space="preserve">judicature. </w:t>
      </w:r>
    </w:p>
    <w:p w14:paraId="3E98D167" w14:textId="44086439" w:rsidR="009E7D18" w:rsidRPr="00852104" w:rsidRDefault="009E7D18" w:rsidP="000A1C61">
      <w:pPr>
        <w:ind w:firstLine="708"/>
        <w:jc w:val="both"/>
        <w:rPr>
          <w:lang w:val="en-US"/>
        </w:rPr>
      </w:pPr>
      <w:r w:rsidRPr="009E7D18">
        <w:rPr>
          <w:lang w:val="en-US"/>
        </w:rPr>
        <w:t>To conclude, in order t</w:t>
      </w:r>
      <w:r>
        <w:rPr>
          <w:lang w:val="en-US"/>
        </w:rPr>
        <w:t>o supplement the discussed publication, let me point to one regulation which has not been in</w:t>
      </w:r>
      <w:r w:rsidR="00852104">
        <w:rPr>
          <w:lang w:val="en-US"/>
        </w:rPr>
        <w:t xml:space="preserve">cluded in it. </w:t>
      </w:r>
      <w:r w:rsidR="00852104" w:rsidRPr="00852104">
        <w:rPr>
          <w:lang w:val="en-US"/>
        </w:rPr>
        <w:t>I mean here Art. 45 of the Act of 25 May 2017 o</w:t>
      </w:r>
      <w:r w:rsidR="00852104">
        <w:rPr>
          <w:lang w:val="en-US"/>
        </w:rPr>
        <w:t xml:space="preserve">n </w:t>
      </w:r>
      <w:r w:rsidR="008926A8">
        <w:rPr>
          <w:lang w:val="en-US"/>
        </w:rPr>
        <w:t xml:space="preserve">the Restitution </w:t>
      </w:r>
      <w:r w:rsidR="006F38CA">
        <w:rPr>
          <w:lang w:val="en-US"/>
        </w:rPr>
        <w:t xml:space="preserve">of National Cultural </w:t>
      </w:r>
      <w:r w:rsidR="00462DDB">
        <w:rPr>
          <w:lang w:val="en-US"/>
        </w:rPr>
        <w:t xml:space="preserve">Property </w:t>
      </w:r>
      <w:r w:rsidR="006F38CA">
        <w:rPr>
          <w:lang w:val="en-US"/>
        </w:rPr>
        <w:t xml:space="preserve">stipulating that legal activities covering the transfer </w:t>
      </w:r>
      <w:r w:rsidR="008632E8">
        <w:rPr>
          <w:lang w:val="en-US"/>
        </w:rPr>
        <w:t xml:space="preserve">of ownership or </w:t>
      </w:r>
      <w:r w:rsidR="005C2E8F">
        <w:rPr>
          <w:lang w:val="en-US"/>
        </w:rPr>
        <w:t>the charge of Poland’s n</w:t>
      </w:r>
      <w:r w:rsidR="00C6769C">
        <w:rPr>
          <w:lang w:val="en-US"/>
        </w:rPr>
        <w:t>ational cultur</w:t>
      </w:r>
      <w:r w:rsidR="00D0245E">
        <w:rPr>
          <w:lang w:val="en-US"/>
        </w:rPr>
        <w:t xml:space="preserve">al </w:t>
      </w:r>
      <w:r w:rsidR="00674276">
        <w:rPr>
          <w:lang w:val="en-US"/>
        </w:rPr>
        <w:t>asset</w:t>
      </w:r>
      <w:r w:rsidR="00D0245E">
        <w:rPr>
          <w:lang w:val="en-US"/>
        </w:rPr>
        <w:t>s</w:t>
      </w:r>
      <w:r w:rsidR="00C6769C">
        <w:rPr>
          <w:lang w:val="en-US"/>
        </w:rPr>
        <w:t xml:space="preserve"> belonging to a public collection </w:t>
      </w:r>
      <w:r w:rsidR="00191EA2">
        <w:rPr>
          <w:lang w:val="en-US"/>
        </w:rPr>
        <w:t>shall be</w:t>
      </w:r>
      <w:r w:rsidR="00C6769C">
        <w:rPr>
          <w:lang w:val="en-US"/>
        </w:rPr>
        <w:t xml:space="preserve"> conducted in writing with </w:t>
      </w:r>
      <w:r w:rsidR="001E2336">
        <w:rPr>
          <w:lang w:val="en-US"/>
        </w:rPr>
        <w:t>authenticated date</w:t>
      </w:r>
      <w:r w:rsidR="00E767E7">
        <w:rPr>
          <w:lang w:val="en-US"/>
        </w:rPr>
        <w:t>. It is a regulat</w:t>
      </w:r>
      <w:r w:rsidR="00674276">
        <w:rPr>
          <w:lang w:val="en-US"/>
        </w:rPr>
        <w:t>i</w:t>
      </w:r>
      <w:r w:rsidR="00E767E7">
        <w:rPr>
          <w:lang w:val="en-US"/>
        </w:rPr>
        <w:t>on of public law which, in this respect, does not have an impact on the contract’s content, but on its form</w:t>
      </w:r>
      <w:r w:rsidR="00E6383A">
        <w:rPr>
          <w:lang w:val="en-US"/>
        </w:rPr>
        <w:t>at</w:t>
      </w:r>
      <w:r w:rsidR="00D25207">
        <w:rPr>
          <w:lang w:val="en-US"/>
        </w:rPr>
        <w:t xml:space="preserve">, while </w:t>
      </w:r>
      <w:r w:rsidR="00D25207">
        <w:rPr>
          <w:lang w:val="en-US"/>
        </w:rPr>
        <w:lastRenderedPageBreak/>
        <w:t xml:space="preserve">at the same time being intricately connected with the </w:t>
      </w:r>
      <w:r w:rsidR="004A1790">
        <w:rPr>
          <w:lang w:val="en-US"/>
        </w:rPr>
        <w:t xml:space="preserve">trade in cultural </w:t>
      </w:r>
      <w:r w:rsidR="00E6383A">
        <w:rPr>
          <w:lang w:val="en-US"/>
        </w:rPr>
        <w:t>assets</w:t>
      </w:r>
      <w:r w:rsidR="004A1790">
        <w:rPr>
          <w:lang w:val="en-US"/>
        </w:rPr>
        <w:t xml:space="preserve"> participated in by museums.</w:t>
      </w:r>
    </w:p>
    <w:p w14:paraId="499416C1" w14:textId="792D61DA" w:rsidR="005C1AC3" w:rsidRPr="00B8516F" w:rsidRDefault="005C1AC3" w:rsidP="000A1C61">
      <w:pPr>
        <w:ind w:firstLine="708"/>
        <w:jc w:val="both"/>
        <w:rPr>
          <w:lang w:val="en-US"/>
        </w:rPr>
      </w:pPr>
      <w:r w:rsidRPr="005C1AC3">
        <w:rPr>
          <w:lang w:val="en-US"/>
        </w:rPr>
        <w:t>This is not a p</w:t>
      </w:r>
      <w:r>
        <w:rPr>
          <w:lang w:val="en-US"/>
        </w:rPr>
        <w:t xml:space="preserve">latform for a longer discourse on the topic </w:t>
      </w:r>
      <w:r w:rsidR="00EE2DEC">
        <w:rPr>
          <w:lang w:val="en-US"/>
        </w:rPr>
        <w:t>[</w:t>
      </w:r>
      <w:r w:rsidR="00923472">
        <w:rPr>
          <w:lang w:val="en-US"/>
        </w:rPr>
        <w:t xml:space="preserve">I can </w:t>
      </w:r>
      <w:r w:rsidR="00AC3388">
        <w:rPr>
          <w:lang w:val="en-US"/>
        </w:rPr>
        <w:t xml:space="preserve">suggest </w:t>
      </w:r>
      <w:r w:rsidR="007B37BD">
        <w:rPr>
          <w:lang w:val="en-US"/>
        </w:rPr>
        <w:t xml:space="preserve">consulting </w:t>
      </w:r>
      <w:r w:rsidR="00086B7F">
        <w:rPr>
          <w:lang w:val="en-US"/>
        </w:rPr>
        <w:t xml:space="preserve">my paper ‘Regulations </w:t>
      </w:r>
      <w:r w:rsidR="00615767">
        <w:rPr>
          <w:lang w:val="en-US"/>
        </w:rPr>
        <w:t xml:space="preserve">with Respect to Conduct of Civil Law Transactions in </w:t>
      </w:r>
      <w:r w:rsidR="00B6065B">
        <w:rPr>
          <w:lang w:val="en-US"/>
        </w:rPr>
        <w:t>the Act on the Restitution of Polish Cultural Objects</w:t>
      </w:r>
      <w:r w:rsidR="00B8516F">
        <w:rPr>
          <w:lang w:val="en-US"/>
        </w:rPr>
        <w:t xml:space="preserve"> and their Application to Museums’ Operations’ published in </w:t>
      </w:r>
      <w:proofErr w:type="spellStart"/>
      <w:r w:rsidR="00B8516F">
        <w:rPr>
          <w:i/>
          <w:iCs/>
          <w:lang w:val="en-US"/>
        </w:rPr>
        <w:t>Muzealnictwo</w:t>
      </w:r>
      <w:proofErr w:type="spellEnd"/>
      <w:r w:rsidR="00B8516F">
        <w:rPr>
          <w:lang w:val="en-US"/>
        </w:rPr>
        <w:t xml:space="preserve">, </w:t>
      </w:r>
      <w:r w:rsidR="00156532">
        <w:rPr>
          <w:lang w:val="en-US"/>
        </w:rPr>
        <w:t>62 (2021)</w:t>
      </w:r>
      <w:r w:rsidR="00201E97">
        <w:rPr>
          <w:lang w:val="en-US"/>
        </w:rPr>
        <w:t>]</w:t>
      </w:r>
      <w:r w:rsidR="00156532">
        <w:rPr>
          <w:lang w:val="en-US"/>
        </w:rPr>
        <w:t xml:space="preserve">. Let me emphasize, however, that the </w:t>
      </w:r>
      <w:r w:rsidR="00B66EC1">
        <w:rPr>
          <w:lang w:val="en-US"/>
        </w:rPr>
        <w:t>interpretation of the Act is challenging</w:t>
      </w:r>
      <w:r w:rsidR="00A7348B">
        <w:rPr>
          <w:lang w:val="en-US"/>
        </w:rPr>
        <w:t xml:space="preserve"> (</w:t>
      </w:r>
      <w:r w:rsidR="00E41AB0">
        <w:rPr>
          <w:lang w:val="en-US"/>
        </w:rPr>
        <w:t>with the concepts of ‘charges’ and ‘public collections’</w:t>
      </w:r>
      <w:r w:rsidR="001C5BB2">
        <w:rPr>
          <w:lang w:val="en-US"/>
        </w:rPr>
        <w:t xml:space="preserve"> particularly arising doubts</w:t>
      </w:r>
      <w:r w:rsidR="0054095C">
        <w:rPr>
          <w:lang w:val="en-US"/>
        </w:rPr>
        <w:t>), while sanctions for violating the form resulting from the regulation can be sever</w:t>
      </w:r>
      <w:r w:rsidR="00FC5242">
        <w:rPr>
          <w:lang w:val="en-US"/>
        </w:rPr>
        <w:t xml:space="preserve">e </w:t>
      </w:r>
      <w:r w:rsidR="0054095C">
        <w:rPr>
          <w:lang w:val="en-US"/>
        </w:rPr>
        <w:t>(</w:t>
      </w:r>
      <w:r w:rsidR="00FC5242">
        <w:rPr>
          <w:lang w:val="en-US"/>
        </w:rPr>
        <w:t>invalidity of the contract</w:t>
      </w:r>
      <w:r w:rsidR="006F465E">
        <w:rPr>
          <w:lang w:val="en-US"/>
        </w:rPr>
        <w:t>).</w:t>
      </w:r>
    </w:p>
    <w:p w14:paraId="3A6A7CFA" w14:textId="226108C7" w:rsidR="00F17CBA" w:rsidRDefault="00A36DA3" w:rsidP="000A1C61">
      <w:pPr>
        <w:ind w:firstLine="708"/>
        <w:jc w:val="both"/>
        <w:rPr>
          <w:iCs/>
          <w:lang w:val="en-GB"/>
        </w:rPr>
      </w:pPr>
      <w:r w:rsidRPr="0037067F">
        <w:rPr>
          <w:iCs/>
          <w:lang w:val="en-GB"/>
        </w:rPr>
        <w:t>A valuable complement to the study can be found in a set of contract templates contained in an Annex; they actually translate into the summing up of the conclusions presented in the study</w:t>
      </w:r>
      <w:r w:rsidR="00662047">
        <w:rPr>
          <w:iCs/>
          <w:lang w:val="en-GB"/>
        </w:rPr>
        <w:t>,</w:t>
      </w:r>
      <w:r w:rsidRPr="0037067F">
        <w:rPr>
          <w:iCs/>
          <w:lang w:val="en-GB"/>
        </w:rPr>
        <w:t xml:space="preserve"> also </w:t>
      </w:r>
      <w:r w:rsidR="00470524">
        <w:rPr>
          <w:iCs/>
          <w:lang w:val="en-GB"/>
        </w:rPr>
        <w:t xml:space="preserve">those </w:t>
      </w:r>
      <w:r w:rsidRPr="0037067F">
        <w:rPr>
          <w:iCs/>
          <w:lang w:val="en-GB"/>
        </w:rPr>
        <w:t xml:space="preserve">resulting from the study </w:t>
      </w:r>
      <w:r w:rsidRPr="0037067F">
        <w:rPr>
          <w:i/>
          <w:lang w:val="en-GB"/>
        </w:rPr>
        <w:t>Contracts in Museum Operations. Civil Law. Copyright</w:t>
      </w:r>
      <w:r w:rsidRPr="0037067F">
        <w:rPr>
          <w:iCs/>
          <w:lang w:val="en-GB"/>
        </w:rPr>
        <w:t xml:space="preserve">. The Annex contains </w:t>
      </w:r>
      <w:r w:rsidR="002F3CC0">
        <w:rPr>
          <w:iCs/>
          <w:lang w:val="en-GB"/>
        </w:rPr>
        <w:t>a comprehensive</w:t>
      </w:r>
      <w:r w:rsidRPr="0037067F">
        <w:rPr>
          <w:iCs/>
          <w:lang w:val="en-GB"/>
        </w:rPr>
        <w:t xml:space="preserve"> set of contract templates most frequently used by museums</w:t>
      </w:r>
      <w:r w:rsidR="00705075">
        <w:rPr>
          <w:iCs/>
          <w:lang w:val="en-GB"/>
        </w:rPr>
        <w:t xml:space="preserve"> settling: sale, donation, deposit, l</w:t>
      </w:r>
      <w:r w:rsidR="003425B6">
        <w:rPr>
          <w:iCs/>
          <w:lang w:val="en-GB"/>
        </w:rPr>
        <w:t>oan</w:t>
      </w:r>
      <w:r w:rsidR="00705075">
        <w:rPr>
          <w:iCs/>
          <w:lang w:val="en-GB"/>
        </w:rPr>
        <w:t xml:space="preserve"> of an object for a display, insurance, and perform</w:t>
      </w:r>
      <w:r w:rsidR="00F17CBA">
        <w:rPr>
          <w:iCs/>
          <w:lang w:val="en-GB"/>
        </w:rPr>
        <w:t>ing conservation</w:t>
      </w:r>
      <w:r w:rsidRPr="0037067F">
        <w:rPr>
          <w:iCs/>
          <w:lang w:val="en-GB"/>
        </w:rPr>
        <w:t>.</w:t>
      </w:r>
      <w:r w:rsidR="00F17CBA">
        <w:rPr>
          <w:iCs/>
          <w:lang w:val="en-GB"/>
        </w:rPr>
        <w:t xml:space="preserve"> Importantly, the presented contracts take into account the copyright aspect, often </w:t>
      </w:r>
      <w:r w:rsidR="00B26668">
        <w:rPr>
          <w:iCs/>
          <w:lang w:val="en-GB"/>
        </w:rPr>
        <w:t xml:space="preserve">passed over </w:t>
      </w:r>
      <w:r w:rsidR="00712933">
        <w:rPr>
          <w:iCs/>
          <w:lang w:val="en-GB"/>
        </w:rPr>
        <w:t xml:space="preserve">in museum practice. </w:t>
      </w:r>
    </w:p>
    <w:p w14:paraId="178D15B5" w14:textId="05E0EA71" w:rsidR="00E23DB8" w:rsidRPr="00E23DB8" w:rsidRDefault="00A36DA3" w:rsidP="000A1C61">
      <w:pPr>
        <w:ind w:firstLine="708"/>
        <w:jc w:val="both"/>
        <w:rPr>
          <w:lang w:val="en-US"/>
        </w:rPr>
      </w:pPr>
      <w:r w:rsidRPr="0037067F">
        <w:rPr>
          <w:iCs/>
          <w:lang w:val="en-GB"/>
        </w:rPr>
        <w:t xml:space="preserve"> </w:t>
      </w:r>
      <w:r w:rsidR="00E23DB8" w:rsidRPr="00E23DB8">
        <w:rPr>
          <w:lang w:val="en-US"/>
        </w:rPr>
        <w:t xml:space="preserve">As a lawyer dealing on </w:t>
      </w:r>
      <w:r w:rsidR="00E23DB8">
        <w:rPr>
          <w:lang w:val="en-US"/>
        </w:rPr>
        <w:t xml:space="preserve">a daily basis with the current </w:t>
      </w:r>
      <w:r w:rsidR="001C48DA">
        <w:rPr>
          <w:lang w:val="en-US"/>
        </w:rPr>
        <w:t xml:space="preserve">handling </w:t>
      </w:r>
      <w:r w:rsidR="007B2665">
        <w:rPr>
          <w:lang w:val="en-US"/>
        </w:rPr>
        <w:t xml:space="preserve">of </w:t>
      </w:r>
      <w:r w:rsidR="001C48DA">
        <w:rPr>
          <w:lang w:val="en-US"/>
        </w:rPr>
        <w:t xml:space="preserve">museums’ legal operations I am of the opinion that the </w:t>
      </w:r>
      <w:r w:rsidR="005B5F5D">
        <w:rPr>
          <w:lang w:val="en-US"/>
        </w:rPr>
        <w:t xml:space="preserve">contract templates prepared by the Author are of high quality. </w:t>
      </w:r>
    </w:p>
    <w:p w14:paraId="4B927DF2" w14:textId="1BB9DF42" w:rsidR="00E56565" w:rsidRPr="00E56565" w:rsidRDefault="00E56565" w:rsidP="000A1C61">
      <w:pPr>
        <w:ind w:firstLine="708"/>
        <w:jc w:val="both"/>
        <w:rPr>
          <w:lang w:val="en-US"/>
        </w:rPr>
      </w:pPr>
      <w:r w:rsidRPr="00E56565">
        <w:rPr>
          <w:lang w:val="en-US"/>
        </w:rPr>
        <w:t>The range of topics c</w:t>
      </w:r>
      <w:r>
        <w:rPr>
          <w:lang w:val="en-US"/>
        </w:rPr>
        <w:t xml:space="preserve">ontained in the reviewed study has not as yet been comprehensively discussed in legal literature. </w:t>
      </w:r>
      <w:r w:rsidR="009476E1">
        <w:rPr>
          <w:lang w:val="en-US"/>
        </w:rPr>
        <w:t xml:space="preserve">Thus the Author’s </w:t>
      </w:r>
      <w:r w:rsidR="004573B5">
        <w:rPr>
          <w:lang w:val="en-US"/>
        </w:rPr>
        <w:t xml:space="preserve">contribution with a clear and precise </w:t>
      </w:r>
      <w:r w:rsidR="0043606A">
        <w:rPr>
          <w:lang w:val="en-US"/>
        </w:rPr>
        <w:t xml:space="preserve">vision </w:t>
      </w:r>
      <w:r w:rsidR="009D3297">
        <w:rPr>
          <w:lang w:val="en-US"/>
        </w:rPr>
        <w:t xml:space="preserve">on the </w:t>
      </w:r>
      <w:r w:rsidR="004E2F31">
        <w:rPr>
          <w:lang w:val="en-US"/>
        </w:rPr>
        <w:t>matter</w:t>
      </w:r>
      <w:r w:rsidR="009D3297">
        <w:rPr>
          <w:lang w:val="en-US"/>
        </w:rPr>
        <w:t xml:space="preserve"> </w:t>
      </w:r>
      <w:r w:rsidR="0043606A">
        <w:rPr>
          <w:lang w:val="en-US"/>
        </w:rPr>
        <w:t xml:space="preserve">is all the more worth appreciation. </w:t>
      </w:r>
    </w:p>
    <w:p w14:paraId="47F5CFD0" w14:textId="196BB6B2" w:rsidR="005D442E" w:rsidRDefault="005D442E" w:rsidP="005D442E">
      <w:pPr>
        <w:ind w:firstLine="708"/>
        <w:jc w:val="both"/>
        <w:rPr>
          <w:iCs/>
          <w:lang w:val="en-GB"/>
        </w:rPr>
      </w:pPr>
      <w:r w:rsidRPr="0037067F">
        <w:rPr>
          <w:iCs/>
          <w:lang w:val="en-GB"/>
        </w:rPr>
        <w:t xml:space="preserve">The discussed study </w:t>
      </w:r>
      <w:r>
        <w:rPr>
          <w:iCs/>
          <w:lang w:val="en-GB"/>
        </w:rPr>
        <w:t>is a well-</w:t>
      </w:r>
      <w:r w:rsidR="00003FC0">
        <w:rPr>
          <w:iCs/>
          <w:lang w:val="en-GB"/>
        </w:rPr>
        <w:t xml:space="preserve">prepared publication which </w:t>
      </w:r>
      <w:r w:rsidRPr="0037067F">
        <w:rPr>
          <w:iCs/>
          <w:lang w:val="en-GB"/>
        </w:rPr>
        <w:t>should be found in the book collection of every individual dealing with the legal aspects of museum operations.</w:t>
      </w:r>
    </w:p>
    <w:p w14:paraId="2F594FD4" w14:textId="77777777" w:rsidR="00184140" w:rsidRDefault="00184140" w:rsidP="005D442E">
      <w:pPr>
        <w:ind w:firstLine="708"/>
        <w:jc w:val="both"/>
        <w:rPr>
          <w:iCs/>
          <w:lang w:val="en-GB"/>
        </w:rPr>
      </w:pPr>
    </w:p>
    <w:p w14:paraId="02D41ABB" w14:textId="77777777" w:rsidR="00184140" w:rsidRPr="0037067F" w:rsidRDefault="00184140" w:rsidP="00184140">
      <w:pPr>
        <w:jc w:val="both"/>
        <w:rPr>
          <w:iCs/>
          <w:lang w:val="en-GB"/>
        </w:rPr>
      </w:pPr>
      <w:proofErr w:type="spellStart"/>
      <w:r w:rsidRPr="007C50A6">
        <w:rPr>
          <w:b/>
        </w:rPr>
        <w:t>Abstract</w:t>
      </w:r>
      <w:proofErr w:type="spellEnd"/>
      <w:r>
        <w:t xml:space="preserve">: </w:t>
      </w:r>
      <w:r w:rsidRPr="000A1C61">
        <w:t xml:space="preserve">In 2022, the Wydawnictwo Uniwersytetu Gdańskiego </w:t>
      </w:r>
      <w:proofErr w:type="spellStart"/>
      <w:r w:rsidRPr="000A1C61">
        <w:t>published</w:t>
      </w:r>
      <w:proofErr w:type="spellEnd"/>
      <w:r w:rsidRPr="000A1C61">
        <w:t xml:space="preserve"> </w:t>
      </w:r>
      <w:r w:rsidRPr="000A1C61">
        <w:rPr>
          <w:i/>
        </w:rPr>
        <w:t>Umowy w działalności muzeów. Zagadnienia publicznoprawne</w:t>
      </w:r>
      <w:r w:rsidRPr="000A1C61">
        <w:rPr>
          <w:iCs/>
        </w:rPr>
        <w:t xml:space="preserve"> [</w:t>
      </w:r>
      <w:proofErr w:type="spellStart"/>
      <w:r w:rsidRPr="000A1C61">
        <w:rPr>
          <w:iCs/>
        </w:rPr>
        <w:t>Contracts</w:t>
      </w:r>
      <w:proofErr w:type="spellEnd"/>
      <w:r w:rsidRPr="000A1C61">
        <w:rPr>
          <w:iCs/>
        </w:rPr>
        <w:t xml:space="preserve"> in </w:t>
      </w:r>
      <w:proofErr w:type="spellStart"/>
      <w:r w:rsidRPr="000A1C61">
        <w:rPr>
          <w:iCs/>
        </w:rPr>
        <w:t>Museum</w:t>
      </w:r>
      <w:proofErr w:type="spellEnd"/>
      <w:r w:rsidRPr="000A1C61">
        <w:rPr>
          <w:iCs/>
        </w:rPr>
        <w:t xml:space="preserve"> Operations. Public-law </w:t>
      </w:r>
      <w:proofErr w:type="spellStart"/>
      <w:r w:rsidRPr="000A1C61">
        <w:rPr>
          <w:iCs/>
        </w:rPr>
        <w:t>Aspects</w:t>
      </w:r>
      <w:proofErr w:type="spellEnd"/>
      <w:r w:rsidRPr="000A1C61">
        <w:rPr>
          <w:iCs/>
        </w:rPr>
        <w:t xml:space="preserve">] by </w:t>
      </w:r>
      <w:r w:rsidRPr="000A1C61">
        <w:t xml:space="preserve">Paulina </w:t>
      </w:r>
      <w:proofErr w:type="spellStart"/>
      <w:r w:rsidRPr="000A1C61">
        <w:t>Gwoździewicz-Matan</w:t>
      </w:r>
      <w:proofErr w:type="spellEnd"/>
      <w:r w:rsidRPr="000A1C61">
        <w:t xml:space="preserve">. It </w:t>
      </w:r>
      <w:proofErr w:type="spellStart"/>
      <w:r w:rsidRPr="000A1C61">
        <w:t>is</w:t>
      </w:r>
      <w:proofErr w:type="spellEnd"/>
      <w:r w:rsidRPr="000A1C61">
        <w:t xml:space="preserve"> a </w:t>
      </w:r>
      <w:proofErr w:type="spellStart"/>
      <w:r w:rsidRPr="000A1C61">
        <w:t>supplement</w:t>
      </w:r>
      <w:proofErr w:type="spellEnd"/>
      <w:r w:rsidRPr="000A1C61">
        <w:t xml:space="preserve"> to the </w:t>
      </w:r>
      <w:proofErr w:type="spellStart"/>
      <w:r w:rsidRPr="000A1C61">
        <w:t>book</w:t>
      </w:r>
      <w:proofErr w:type="spellEnd"/>
      <w:r w:rsidRPr="000A1C61">
        <w:t xml:space="preserve"> by Paulina </w:t>
      </w:r>
      <w:proofErr w:type="spellStart"/>
      <w:r w:rsidRPr="000A1C61">
        <w:t>Gwoździewicz-Matan</w:t>
      </w:r>
      <w:proofErr w:type="spellEnd"/>
      <w:r w:rsidRPr="000A1C61">
        <w:t xml:space="preserve">, Iwona </w:t>
      </w:r>
      <w:proofErr w:type="spellStart"/>
      <w:r w:rsidRPr="000A1C61">
        <w:t>Gredka-Ligarska</w:t>
      </w:r>
      <w:proofErr w:type="spellEnd"/>
      <w:r w:rsidRPr="000A1C61">
        <w:t xml:space="preserve">, and Prof. Wojciech W. Kowalski </w:t>
      </w:r>
      <w:r w:rsidRPr="000A1C61">
        <w:rPr>
          <w:i/>
        </w:rPr>
        <w:t xml:space="preserve">Umowy w działalności muzeów. </w:t>
      </w:r>
      <w:proofErr w:type="spellStart"/>
      <w:r w:rsidRPr="0037067F">
        <w:rPr>
          <w:i/>
          <w:lang w:val="en-GB"/>
        </w:rPr>
        <w:t>Prawo</w:t>
      </w:r>
      <w:proofErr w:type="spellEnd"/>
      <w:r w:rsidRPr="0037067F">
        <w:rPr>
          <w:i/>
          <w:lang w:val="en-GB"/>
        </w:rPr>
        <w:t xml:space="preserve"> </w:t>
      </w:r>
      <w:proofErr w:type="spellStart"/>
      <w:r w:rsidRPr="0037067F">
        <w:rPr>
          <w:i/>
          <w:lang w:val="en-GB"/>
        </w:rPr>
        <w:t>cywilne</w:t>
      </w:r>
      <w:proofErr w:type="spellEnd"/>
      <w:r w:rsidRPr="0037067F">
        <w:rPr>
          <w:i/>
          <w:lang w:val="en-GB"/>
        </w:rPr>
        <w:t xml:space="preserve">. </w:t>
      </w:r>
      <w:proofErr w:type="spellStart"/>
      <w:r w:rsidRPr="0037067F">
        <w:rPr>
          <w:i/>
          <w:lang w:val="en-GB"/>
        </w:rPr>
        <w:t>Prawo</w:t>
      </w:r>
      <w:proofErr w:type="spellEnd"/>
      <w:r w:rsidRPr="0037067F">
        <w:rPr>
          <w:i/>
          <w:lang w:val="en-GB"/>
        </w:rPr>
        <w:t xml:space="preserve"> </w:t>
      </w:r>
      <w:proofErr w:type="spellStart"/>
      <w:r w:rsidRPr="0037067F">
        <w:rPr>
          <w:i/>
          <w:lang w:val="en-GB"/>
        </w:rPr>
        <w:t>autorskie</w:t>
      </w:r>
      <w:proofErr w:type="spellEnd"/>
      <w:r w:rsidRPr="0037067F">
        <w:rPr>
          <w:iCs/>
          <w:lang w:val="en-GB"/>
        </w:rPr>
        <w:t xml:space="preserve"> [Contracts in Museum Operations. Civil Law. Copyright]. The study’s Author does not deal with the application of the corpus of public law to museum operations, but with the selected issues related to the specificity of museums’ activity aimed at amassing and protecting collections. The first sections of the study tackle the legal status of museums and the impact of subsequent regulations of public law on the contracts concluded by museums, beginning with the basic act, namely the Act on Museums. Subsequently, the Author proceeds to analysing the Act of 11 September 2019 on Public Procurement Law as well as fiscal regulations in the context of </w:t>
      </w:r>
      <w:r>
        <w:rPr>
          <w:iCs/>
          <w:lang w:val="en-GB"/>
        </w:rPr>
        <w:t xml:space="preserve">such </w:t>
      </w:r>
      <w:r w:rsidRPr="0037067F">
        <w:rPr>
          <w:iCs/>
          <w:lang w:val="en-GB"/>
        </w:rPr>
        <w:t xml:space="preserve">contracts. In the following chapters, the application of the provisions of the Act on the Security of Personal Data and regulations concerning the disclosure of contracts by the museums which are public sector units are discussed. A valuable complement to the study can be found in a set of contract templates contained in an Annex; they actually translate into the summing up of the conclusions presented in the study and also resulting from the study </w:t>
      </w:r>
      <w:r w:rsidRPr="0037067F">
        <w:rPr>
          <w:i/>
          <w:lang w:val="en-GB"/>
        </w:rPr>
        <w:t>Contracts in Museum Operations. Civil Law. Copyright</w:t>
      </w:r>
      <w:r w:rsidRPr="0037067F">
        <w:rPr>
          <w:iCs/>
          <w:lang w:val="en-GB"/>
        </w:rPr>
        <w:t>. The Annex contains the set of contract templates most frequently used by museums. The discussed study should be found in the book collection of every individual dealing with the legal aspects of museum operations.</w:t>
      </w:r>
    </w:p>
    <w:p w14:paraId="1E121B4D" w14:textId="77777777" w:rsidR="00184140" w:rsidRPr="000A1C61" w:rsidRDefault="00184140" w:rsidP="00184140">
      <w:pPr>
        <w:jc w:val="both"/>
        <w:rPr>
          <w:lang w:val="en-US"/>
        </w:rPr>
      </w:pPr>
    </w:p>
    <w:p w14:paraId="65DA4D4B" w14:textId="5292C212" w:rsidR="00184140" w:rsidRPr="00A36DA3" w:rsidRDefault="00184140" w:rsidP="00184140">
      <w:pPr>
        <w:jc w:val="both"/>
        <w:rPr>
          <w:lang w:val="en-US"/>
        </w:rPr>
      </w:pPr>
      <w:r w:rsidRPr="000A1C61">
        <w:rPr>
          <w:b/>
          <w:lang w:val="en-US"/>
        </w:rPr>
        <w:t>Keywords</w:t>
      </w:r>
      <w:r w:rsidRPr="000A1C61">
        <w:rPr>
          <w:lang w:val="en-US"/>
        </w:rPr>
        <w:t xml:space="preserve">: public law, public museums, Act on Museums, public procurement, taxes, contracts in museum operations. </w:t>
      </w:r>
    </w:p>
    <w:p w14:paraId="19FA2FB8" w14:textId="77777777" w:rsidR="000F7787" w:rsidRDefault="000F7787" w:rsidP="000A1C61">
      <w:pPr>
        <w:jc w:val="both"/>
        <w:rPr>
          <w:b/>
          <w:lang w:val="en-US"/>
        </w:rPr>
      </w:pPr>
    </w:p>
    <w:p w14:paraId="200F3BA4" w14:textId="77777777" w:rsidR="000F7787" w:rsidRDefault="000F7787" w:rsidP="000A1C61">
      <w:pPr>
        <w:jc w:val="both"/>
        <w:rPr>
          <w:b/>
          <w:lang w:val="en-US"/>
        </w:rPr>
      </w:pPr>
    </w:p>
    <w:p w14:paraId="29ED6BBE" w14:textId="2E056562" w:rsidR="007C50A6" w:rsidRPr="008F0088" w:rsidRDefault="007C50A6" w:rsidP="000A1C61">
      <w:pPr>
        <w:jc w:val="both"/>
        <w:rPr>
          <w:lang w:val="en-US"/>
        </w:rPr>
      </w:pPr>
      <w:r w:rsidRPr="008F0088">
        <w:rPr>
          <w:b/>
          <w:lang w:val="en-US"/>
        </w:rPr>
        <w:lastRenderedPageBreak/>
        <w:t xml:space="preserve">Adam </w:t>
      </w:r>
      <w:proofErr w:type="spellStart"/>
      <w:r w:rsidRPr="008F0088">
        <w:rPr>
          <w:b/>
          <w:lang w:val="en-US"/>
        </w:rPr>
        <w:t>Barbasiewicz</w:t>
      </w:r>
      <w:proofErr w:type="spellEnd"/>
    </w:p>
    <w:p w14:paraId="239F86D0" w14:textId="7177A81F" w:rsidR="007C50A6" w:rsidRPr="005F7F43" w:rsidRDefault="00D72796" w:rsidP="000A1C61">
      <w:pPr>
        <w:jc w:val="both"/>
        <w:rPr>
          <w:lang w:val="en-US"/>
        </w:rPr>
      </w:pPr>
      <w:r w:rsidRPr="00D72796">
        <w:rPr>
          <w:lang w:val="en-US"/>
        </w:rPr>
        <w:t>A graduate from the Uni</w:t>
      </w:r>
      <w:r>
        <w:rPr>
          <w:lang w:val="en-US"/>
        </w:rPr>
        <w:t xml:space="preserve">versity of Warsaw; a lawyer, he is a partner in the </w:t>
      </w:r>
      <w:proofErr w:type="spellStart"/>
      <w:r w:rsidR="00F607F0" w:rsidRPr="006E5E74">
        <w:rPr>
          <w:lang w:val="en-US"/>
        </w:rPr>
        <w:t>Cottyn</w:t>
      </w:r>
      <w:proofErr w:type="spellEnd"/>
      <w:r w:rsidR="00F607F0" w:rsidRPr="006E5E74">
        <w:rPr>
          <w:lang w:val="en-US"/>
        </w:rPr>
        <w:t xml:space="preserve"> </w:t>
      </w:r>
      <w:proofErr w:type="spellStart"/>
      <w:r w:rsidR="00F607F0" w:rsidRPr="006E5E74">
        <w:rPr>
          <w:lang w:val="en-US"/>
        </w:rPr>
        <w:t>Barbasiewicz</w:t>
      </w:r>
      <w:proofErr w:type="spellEnd"/>
      <w:r w:rsidR="00F607F0" w:rsidRPr="006E5E74">
        <w:rPr>
          <w:lang w:val="en-US"/>
        </w:rPr>
        <w:t xml:space="preserve"> </w:t>
      </w:r>
      <w:proofErr w:type="spellStart"/>
      <w:r w:rsidR="00F607F0" w:rsidRPr="006E5E74">
        <w:rPr>
          <w:lang w:val="en-US"/>
        </w:rPr>
        <w:t>i</w:t>
      </w:r>
      <w:proofErr w:type="spellEnd"/>
      <w:r w:rsidR="00F607F0" w:rsidRPr="006E5E74">
        <w:rPr>
          <w:lang w:val="en-US"/>
        </w:rPr>
        <w:t xml:space="preserve"> </w:t>
      </w:r>
      <w:proofErr w:type="spellStart"/>
      <w:r w:rsidR="00F607F0" w:rsidRPr="006E5E74">
        <w:rPr>
          <w:lang w:val="en-US"/>
        </w:rPr>
        <w:t>Łyś-Gorzkowska</w:t>
      </w:r>
      <w:proofErr w:type="spellEnd"/>
      <w:r w:rsidR="00F607F0" w:rsidRPr="006E5E74">
        <w:rPr>
          <w:lang w:val="en-US"/>
        </w:rPr>
        <w:t xml:space="preserve"> </w:t>
      </w:r>
      <w:proofErr w:type="spellStart"/>
      <w:r w:rsidR="00F607F0" w:rsidRPr="006E5E74">
        <w:rPr>
          <w:lang w:val="en-US"/>
        </w:rPr>
        <w:t>Sp.k</w:t>
      </w:r>
      <w:proofErr w:type="spellEnd"/>
      <w:r w:rsidR="00F607F0">
        <w:rPr>
          <w:lang w:val="en-US"/>
        </w:rPr>
        <w:t xml:space="preserve"> </w:t>
      </w:r>
      <w:r w:rsidR="006E5E74">
        <w:rPr>
          <w:lang w:val="en-US"/>
        </w:rPr>
        <w:t>i</w:t>
      </w:r>
      <w:r>
        <w:rPr>
          <w:lang w:val="en-US"/>
        </w:rPr>
        <w:t>nternational</w:t>
      </w:r>
      <w:r w:rsidR="006E5E74">
        <w:rPr>
          <w:lang w:val="en-US"/>
        </w:rPr>
        <w:t xml:space="preserve"> law firm. He specializes in civil law and culture law. </w:t>
      </w:r>
      <w:r w:rsidR="004775D8">
        <w:rPr>
          <w:lang w:val="en-US"/>
        </w:rPr>
        <w:t>Moreover, h</w:t>
      </w:r>
      <w:r w:rsidR="006E5E74">
        <w:rPr>
          <w:lang w:val="en-US"/>
        </w:rPr>
        <w:t xml:space="preserve">e </w:t>
      </w:r>
      <w:r w:rsidR="002D7AAF">
        <w:rPr>
          <w:lang w:val="en-US"/>
        </w:rPr>
        <w:t xml:space="preserve">serves as a legislative advisor, </w:t>
      </w:r>
      <w:r w:rsidR="005D47FA">
        <w:rPr>
          <w:lang w:val="en-US"/>
        </w:rPr>
        <w:t xml:space="preserve">also </w:t>
      </w:r>
      <w:r w:rsidR="002B49EA">
        <w:rPr>
          <w:lang w:val="en-US"/>
        </w:rPr>
        <w:t>in parliamentary commi</w:t>
      </w:r>
      <w:r w:rsidR="008C63EB">
        <w:rPr>
          <w:lang w:val="en-US"/>
        </w:rPr>
        <w:t>ttees</w:t>
      </w:r>
      <w:r w:rsidR="002B49EA">
        <w:rPr>
          <w:lang w:val="en-US"/>
        </w:rPr>
        <w:t>.</w:t>
      </w:r>
      <w:r w:rsidR="00B342B1">
        <w:rPr>
          <w:lang w:val="en-US"/>
        </w:rPr>
        <w:t xml:space="preserve"> Author of publications related to culture law, e.g.</w:t>
      </w:r>
      <w:r w:rsidR="00075BB0">
        <w:rPr>
          <w:lang w:val="en-US"/>
        </w:rPr>
        <w:t xml:space="preserve">, </w:t>
      </w:r>
      <w:proofErr w:type="spellStart"/>
      <w:r w:rsidR="00075BB0" w:rsidRPr="00075BB0">
        <w:rPr>
          <w:i/>
          <w:lang w:val="en-US"/>
        </w:rPr>
        <w:t>Ustawa</w:t>
      </w:r>
      <w:proofErr w:type="spellEnd"/>
      <w:r w:rsidR="00075BB0" w:rsidRPr="00075BB0">
        <w:rPr>
          <w:i/>
          <w:lang w:val="en-US"/>
        </w:rPr>
        <w:t xml:space="preserve"> o </w:t>
      </w:r>
      <w:proofErr w:type="spellStart"/>
      <w:r w:rsidR="00075BB0" w:rsidRPr="00075BB0">
        <w:rPr>
          <w:i/>
          <w:lang w:val="en-US"/>
        </w:rPr>
        <w:t>muzeach</w:t>
      </w:r>
      <w:proofErr w:type="spellEnd"/>
      <w:r w:rsidR="00075BB0" w:rsidRPr="00075BB0">
        <w:rPr>
          <w:i/>
          <w:lang w:val="en-US"/>
        </w:rPr>
        <w:t xml:space="preserve">. </w:t>
      </w:r>
      <w:proofErr w:type="spellStart"/>
      <w:r w:rsidR="00075BB0" w:rsidRPr="008F0088">
        <w:rPr>
          <w:i/>
          <w:lang w:val="en-US"/>
        </w:rPr>
        <w:t>Komentarz</w:t>
      </w:r>
      <w:proofErr w:type="spellEnd"/>
      <w:r w:rsidR="00075BB0" w:rsidRPr="008F0088">
        <w:rPr>
          <w:lang w:val="en-US"/>
        </w:rPr>
        <w:t xml:space="preserve"> (Warszawa 2021). </w:t>
      </w:r>
      <w:r w:rsidR="00075BB0" w:rsidRPr="0088616F">
        <w:rPr>
          <w:lang w:val="en-US"/>
        </w:rPr>
        <w:t>Mem</w:t>
      </w:r>
      <w:r w:rsidR="0088616F" w:rsidRPr="0088616F">
        <w:rPr>
          <w:lang w:val="en-US"/>
        </w:rPr>
        <w:t>ber of ICOM Poland and of the Board of t</w:t>
      </w:r>
      <w:r w:rsidR="0088616F">
        <w:rPr>
          <w:lang w:val="en-US"/>
        </w:rPr>
        <w:t xml:space="preserve">he </w:t>
      </w:r>
      <w:r w:rsidR="006D3DE1">
        <w:rPr>
          <w:lang w:val="en-US"/>
        </w:rPr>
        <w:t xml:space="preserve">Association </w:t>
      </w:r>
      <w:r w:rsidR="0088616F">
        <w:rPr>
          <w:lang w:val="en-US"/>
        </w:rPr>
        <w:t xml:space="preserve">of </w:t>
      </w:r>
      <w:r w:rsidR="000904A7">
        <w:rPr>
          <w:lang w:val="en-US"/>
        </w:rPr>
        <w:t xml:space="preserve">Friends of </w:t>
      </w:r>
      <w:r w:rsidR="00015CF1">
        <w:rPr>
          <w:lang w:val="en-US"/>
        </w:rPr>
        <w:t xml:space="preserve">the </w:t>
      </w:r>
      <w:r w:rsidR="00847EA8">
        <w:rPr>
          <w:lang w:val="en-US"/>
        </w:rPr>
        <w:t xml:space="preserve">Polish History </w:t>
      </w:r>
      <w:r w:rsidR="000904A7">
        <w:rPr>
          <w:lang w:val="en-US"/>
        </w:rPr>
        <w:t>Museum</w:t>
      </w:r>
      <w:r w:rsidR="00296140">
        <w:rPr>
          <w:lang w:val="en-US"/>
        </w:rPr>
        <w:t xml:space="preserve">; </w:t>
      </w:r>
      <w:r w:rsidR="007C50A6" w:rsidRPr="005F7F43">
        <w:rPr>
          <w:lang w:val="en-US"/>
        </w:rPr>
        <w:t xml:space="preserve">adam.barbasiewicz@cottyn.pl. </w:t>
      </w:r>
    </w:p>
    <w:p w14:paraId="5952A4A3" w14:textId="77777777" w:rsidR="007C50A6" w:rsidRPr="005F7F43" w:rsidRDefault="007C50A6" w:rsidP="000A1C61">
      <w:pPr>
        <w:jc w:val="both"/>
        <w:rPr>
          <w:lang w:val="en-US"/>
        </w:rPr>
      </w:pPr>
    </w:p>
    <w:sectPr w:rsidR="007C50A6" w:rsidRPr="005F7F43" w:rsidSect="00751AC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6BD"/>
    <w:rsid w:val="00003FC0"/>
    <w:rsid w:val="00015CF1"/>
    <w:rsid w:val="000177D3"/>
    <w:rsid w:val="000223D0"/>
    <w:rsid w:val="00022F9F"/>
    <w:rsid w:val="000266E5"/>
    <w:rsid w:val="0002682C"/>
    <w:rsid w:val="00064FDC"/>
    <w:rsid w:val="00075BB0"/>
    <w:rsid w:val="00080527"/>
    <w:rsid w:val="00086B7F"/>
    <w:rsid w:val="000904A7"/>
    <w:rsid w:val="000A1C61"/>
    <w:rsid w:val="000B16D7"/>
    <w:rsid w:val="000F5608"/>
    <w:rsid w:val="000F7787"/>
    <w:rsid w:val="00102441"/>
    <w:rsid w:val="00102929"/>
    <w:rsid w:val="00106C0E"/>
    <w:rsid w:val="001079CB"/>
    <w:rsid w:val="00111783"/>
    <w:rsid w:val="0011383E"/>
    <w:rsid w:val="00123FA3"/>
    <w:rsid w:val="00136F6D"/>
    <w:rsid w:val="00141C68"/>
    <w:rsid w:val="001425D5"/>
    <w:rsid w:val="00143CA1"/>
    <w:rsid w:val="00152794"/>
    <w:rsid w:val="001545D3"/>
    <w:rsid w:val="00156532"/>
    <w:rsid w:val="001771B2"/>
    <w:rsid w:val="0017754D"/>
    <w:rsid w:val="00184140"/>
    <w:rsid w:val="00184BAD"/>
    <w:rsid w:val="00191EA2"/>
    <w:rsid w:val="00191F87"/>
    <w:rsid w:val="001A1F49"/>
    <w:rsid w:val="001A6CFC"/>
    <w:rsid w:val="001B4330"/>
    <w:rsid w:val="001B5B4E"/>
    <w:rsid w:val="001C07BD"/>
    <w:rsid w:val="001C48DA"/>
    <w:rsid w:val="001C5BB2"/>
    <w:rsid w:val="001E0C16"/>
    <w:rsid w:val="001E2336"/>
    <w:rsid w:val="00201E97"/>
    <w:rsid w:val="00221842"/>
    <w:rsid w:val="0022563D"/>
    <w:rsid w:val="00256940"/>
    <w:rsid w:val="00270912"/>
    <w:rsid w:val="0027131A"/>
    <w:rsid w:val="0029176C"/>
    <w:rsid w:val="00296140"/>
    <w:rsid w:val="002A581F"/>
    <w:rsid w:val="002A703C"/>
    <w:rsid w:val="002B04D5"/>
    <w:rsid w:val="002B3A1F"/>
    <w:rsid w:val="002B49EA"/>
    <w:rsid w:val="002B6219"/>
    <w:rsid w:val="002B789C"/>
    <w:rsid w:val="002C3A7C"/>
    <w:rsid w:val="002D7AAF"/>
    <w:rsid w:val="002E27F7"/>
    <w:rsid w:val="002F3CC0"/>
    <w:rsid w:val="003019E7"/>
    <w:rsid w:val="003045A6"/>
    <w:rsid w:val="003125F2"/>
    <w:rsid w:val="003133A4"/>
    <w:rsid w:val="003425B6"/>
    <w:rsid w:val="00351239"/>
    <w:rsid w:val="00365DBF"/>
    <w:rsid w:val="003A193E"/>
    <w:rsid w:val="003C24DA"/>
    <w:rsid w:val="003D247F"/>
    <w:rsid w:val="003D5009"/>
    <w:rsid w:val="003E0AA7"/>
    <w:rsid w:val="003F3EA8"/>
    <w:rsid w:val="004038A7"/>
    <w:rsid w:val="0040589E"/>
    <w:rsid w:val="004058EC"/>
    <w:rsid w:val="00413951"/>
    <w:rsid w:val="00417393"/>
    <w:rsid w:val="00421330"/>
    <w:rsid w:val="004236BD"/>
    <w:rsid w:val="00426D0C"/>
    <w:rsid w:val="0043606A"/>
    <w:rsid w:val="004573B5"/>
    <w:rsid w:val="00462DDB"/>
    <w:rsid w:val="004662B1"/>
    <w:rsid w:val="00470524"/>
    <w:rsid w:val="004775D8"/>
    <w:rsid w:val="00483CBF"/>
    <w:rsid w:val="00491115"/>
    <w:rsid w:val="004944E8"/>
    <w:rsid w:val="004958EA"/>
    <w:rsid w:val="004971E1"/>
    <w:rsid w:val="004A1790"/>
    <w:rsid w:val="004B368B"/>
    <w:rsid w:val="004C13E3"/>
    <w:rsid w:val="004C2449"/>
    <w:rsid w:val="004C38F5"/>
    <w:rsid w:val="004C5774"/>
    <w:rsid w:val="004D39F4"/>
    <w:rsid w:val="004D5EB5"/>
    <w:rsid w:val="004E24FB"/>
    <w:rsid w:val="004E2F31"/>
    <w:rsid w:val="004F1A8E"/>
    <w:rsid w:val="004F44AB"/>
    <w:rsid w:val="004F58CC"/>
    <w:rsid w:val="004F72EC"/>
    <w:rsid w:val="0050743E"/>
    <w:rsid w:val="0050754C"/>
    <w:rsid w:val="00521632"/>
    <w:rsid w:val="0053673D"/>
    <w:rsid w:val="0054095C"/>
    <w:rsid w:val="00551B2A"/>
    <w:rsid w:val="00553B21"/>
    <w:rsid w:val="005730A5"/>
    <w:rsid w:val="005841E0"/>
    <w:rsid w:val="00586C2A"/>
    <w:rsid w:val="005A25E2"/>
    <w:rsid w:val="005B4699"/>
    <w:rsid w:val="005B5F5D"/>
    <w:rsid w:val="005C1AC3"/>
    <w:rsid w:val="005C1B62"/>
    <w:rsid w:val="005C2E8F"/>
    <w:rsid w:val="005D442E"/>
    <w:rsid w:val="005D47FA"/>
    <w:rsid w:val="005E264D"/>
    <w:rsid w:val="005F4050"/>
    <w:rsid w:val="005F7F43"/>
    <w:rsid w:val="00604FC4"/>
    <w:rsid w:val="00611FE0"/>
    <w:rsid w:val="00614F50"/>
    <w:rsid w:val="00615767"/>
    <w:rsid w:val="00641045"/>
    <w:rsid w:val="00654E5D"/>
    <w:rsid w:val="00660595"/>
    <w:rsid w:val="00662047"/>
    <w:rsid w:val="0066258E"/>
    <w:rsid w:val="006722A5"/>
    <w:rsid w:val="00674276"/>
    <w:rsid w:val="00676591"/>
    <w:rsid w:val="00681179"/>
    <w:rsid w:val="00686387"/>
    <w:rsid w:val="006B099A"/>
    <w:rsid w:val="006B2AC8"/>
    <w:rsid w:val="006B3CC1"/>
    <w:rsid w:val="006C5704"/>
    <w:rsid w:val="006D1917"/>
    <w:rsid w:val="006D2788"/>
    <w:rsid w:val="006D3DE1"/>
    <w:rsid w:val="006D67E1"/>
    <w:rsid w:val="006E5E74"/>
    <w:rsid w:val="006F38CA"/>
    <w:rsid w:val="006F3E2A"/>
    <w:rsid w:val="006F4418"/>
    <w:rsid w:val="006F465E"/>
    <w:rsid w:val="006F4E52"/>
    <w:rsid w:val="00705075"/>
    <w:rsid w:val="00707E38"/>
    <w:rsid w:val="00712933"/>
    <w:rsid w:val="00713D61"/>
    <w:rsid w:val="00725979"/>
    <w:rsid w:val="00751ACD"/>
    <w:rsid w:val="007A2A68"/>
    <w:rsid w:val="007B2665"/>
    <w:rsid w:val="007B37BD"/>
    <w:rsid w:val="007B692B"/>
    <w:rsid w:val="007C50A6"/>
    <w:rsid w:val="007D6AF4"/>
    <w:rsid w:val="007E43D1"/>
    <w:rsid w:val="007E7450"/>
    <w:rsid w:val="007F29EF"/>
    <w:rsid w:val="007F320D"/>
    <w:rsid w:val="007F7B5F"/>
    <w:rsid w:val="007F7C63"/>
    <w:rsid w:val="008067B7"/>
    <w:rsid w:val="0082086F"/>
    <w:rsid w:val="00821C34"/>
    <w:rsid w:val="00826DD0"/>
    <w:rsid w:val="0083078E"/>
    <w:rsid w:val="00831A5C"/>
    <w:rsid w:val="00836968"/>
    <w:rsid w:val="00840289"/>
    <w:rsid w:val="0084704F"/>
    <w:rsid w:val="00847EA8"/>
    <w:rsid w:val="00852104"/>
    <w:rsid w:val="008632E8"/>
    <w:rsid w:val="008642CA"/>
    <w:rsid w:val="00865055"/>
    <w:rsid w:val="0088616F"/>
    <w:rsid w:val="00890E10"/>
    <w:rsid w:val="008926A8"/>
    <w:rsid w:val="008C0794"/>
    <w:rsid w:val="008C2749"/>
    <w:rsid w:val="008C493B"/>
    <w:rsid w:val="008C63EB"/>
    <w:rsid w:val="008E2626"/>
    <w:rsid w:val="008E282D"/>
    <w:rsid w:val="008E46D3"/>
    <w:rsid w:val="008F0088"/>
    <w:rsid w:val="008F7A76"/>
    <w:rsid w:val="00902EC5"/>
    <w:rsid w:val="00903445"/>
    <w:rsid w:val="0090741D"/>
    <w:rsid w:val="00923472"/>
    <w:rsid w:val="0093307A"/>
    <w:rsid w:val="009428E6"/>
    <w:rsid w:val="0094527C"/>
    <w:rsid w:val="009473B6"/>
    <w:rsid w:val="009476E1"/>
    <w:rsid w:val="00964F1E"/>
    <w:rsid w:val="009702D2"/>
    <w:rsid w:val="00971F2E"/>
    <w:rsid w:val="00986E1D"/>
    <w:rsid w:val="0099410F"/>
    <w:rsid w:val="009A0ECA"/>
    <w:rsid w:val="009A4145"/>
    <w:rsid w:val="009A6728"/>
    <w:rsid w:val="009B3B09"/>
    <w:rsid w:val="009D3276"/>
    <w:rsid w:val="009D3297"/>
    <w:rsid w:val="009D7D41"/>
    <w:rsid w:val="009E7D18"/>
    <w:rsid w:val="00A1762D"/>
    <w:rsid w:val="00A36DA3"/>
    <w:rsid w:val="00A3746B"/>
    <w:rsid w:val="00A41152"/>
    <w:rsid w:val="00A41C94"/>
    <w:rsid w:val="00A4773E"/>
    <w:rsid w:val="00A50278"/>
    <w:rsid w:val="00A6605E"/>
    <w:rsid w:val="00A7348B"/>
    <w:rsid w:val="00A7478F"/>
    <w:rsid w:val="00A86236"/>
    <w:rsid w:val="00A907D0"/>
    <w:rsid w:val="00AA0292"/>
    <w:rsid w:val="00AA3A9A"/>
    <w:rsid w:val="00AB4569"/>
    <w:rsid w:val="00AB464E"/>
    <w:rsid w:val="00AB618A"/>
    <w:rsid w:val="00AC3388"/>
    <w:rsid w:val="00AC5D1F"/>
    <w:rsid w:val="00AD5734"/>
    <w:rsid w:val="00B0743D"/>
    <w:rsid w:val="00B26668"/>
    <w:rsid w:val="00B342B1"/>
    <w:rsid w:val="00B40564"/>
    <w:rsid w:val="00B45EB5"/>
    <w:rsid w:val="00B6065B"/>
    <w:rsid w:val="00B64E58"/>
    <w:rsid w:val="00B66EC1"/>
    <w:rsid w:val="00B7059C"/>
    <w:rsid w:val="00B71ED3"/>
    <w:rsid w:val="00B75DC5"/>
    <w:rsid w:val="00B8516F"/>
    <w:rsid w:val="00B92E88"/>
    <w:rsid w:val="00B9706C"/>
    <w:rsid w:val="00BA67B9"/>
    <w:rsid w:val="00BB0AA3"/>
    <w:rsid w:val="00BB4F1D"/>
    <w:rsid w:val="00BC201A"/>
    <w:rsid w:val="00BD38E7"/>
    <w:rsid w:val="00BE4BAB"/>
    <w:rsid w:val="00BE6503"/>
    <w:rsid w:val="00C0280A"/>
    <w:rsid w:val="00C039AB"/>
    <w:rsid w:val="00C143D9"/>
    <w:rsid w:val="00C3748C"/>
    <w:rsid w:val="00C57666"/>
    <w:rsid w:val="00C61F9E"/>
    <w:rsid w:val="00C6279D"/>
    <w:rsid w:val="00C6769C"/>
    <w:rsid w:val="00C72F30"/>
    <w:rsid w:val="00C821CC"/>
    <w:rsid w:val="00C862FF"/>
    <w:rsid w:val="00C87876"/>
    <w:rsid w:val="00C910C5"/>
    <w:rsid w:val="00CB7CA6"/>
    <w:rsid w:val="00CC1133"/>
    <w:rsid w:val="00CD1364"/>
    <w:rsid w:val="00CE3FCE"/>
    <w:rsid w:val="00CF33C3"/>
    <w:rsid w:val="00CF3DCE"/>
    <w:rsid w:val="00D0245E"/>
    <w:rsid w:val="00D13D43"/>
    <w:rsid w:val="00D16A62"/>
    <w:rsid w:val="00D25207"/>
    <w:rsid w:val="00D27C1B"/>
    <w:rsid w:val="00D321B2"/>
    <w:rsid w:val="00D36C29"/>
    <w:rsid w:val="00D72796"/>
    <w:rsid w:val="00DA3188"/>
    <w:rsid w:val="00DB49E3"/>
    <w:rsid w:val="00DB5D03"/>
    <w:rsid w:val="00DC1316"/>
    <w:rsid w:val="00DD7EED"/>
    <w:rsid w:val="00DF3601"/>
    <w:rsid w:val="00DF5CCF"/>
    <w:rsid w:val="00DF6950"/>
    <w:rsid w:val="00E0119F"/>
    <w:rsid w:val="00E06F89"/>
    <w:rsid w:val="00E23DB8"/>
    <w:rsid w:val="00E31507"/>
    <w:rsid w:val="00E32468"/>
    <w:rsid w:val="00E41AB0"/>
    <w:rsid w:val="00E56565"/>
    <w:rsid w:val="00E6383A"/>
    <w:rsid w:val="00E75E6E"/>
    <w:rsid w:val="00E767E7"/>
    <w:rsid w:val="00EA27E5"/>
    <w:rsid w:val="00EB468C"/>
    <w:rsid w:val="00EB4E57"/>
    <w:rsid w:val="00ED5D69"/>
    <w:rsid w:val="00EE2DEC"/>
    <w:rsid w:val="00EE7E20"/>
    <w:rsid w:val="00F17CBA"/>
    <w:rsid w:val="00F23904"/>
    <w:rsid w:val="00F2607D"/>
    <w:rsid w:val="00F3462E"/>
    <w:rsid w:val="00F54E87"/>
    <w:rsid w:val="00F607F0"/>
    <w:rsid w:val="00F71AF6"/>
    <w:rsid w:val="00F83B4B"/>
    <w:rsid w:val="00F9468E"/>
    <w:rsid w:val="00F97340"/>
    <w:rsid w:val="00F97BEC"/>
    <w:rsid w:val="00FA5F5E"/>
    <w:rsid w:val="00FB15BB"/>
    <w:rsid w:val="00FB520E"/>
    <w:rsid w:val="00FC2FF4"/>
    <w:rsid w:val="00FC5242"/>
    <w:rsid w:val="00FC536E"/>
    <w:rsid w:val="00FD71A8"/>
    <w:rsid w:val="00FE6177"/>
    <w:rsid w:val="00FF63C8"/>
    <w:rsid w:val="00FF68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924F8"/>
  <w15:docId w15:val="{61D20BE3-2B86-4B59-8D17-8CA7D5F53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E0C16"/>
    <w:rPr>
      <w:rFonts w:ascii="Times New Roman" w:eastAsia="Times New Roman" w:hAnsi="Times New Roman" w:cs="Times New Roman"/>
      <w:kern w:val="0"/>
      <w:lang w:eastAsia="pl-PL"/>
      <w14:ligatures w14:val="none"/>
    </w:rPr>
  </w:style>
  <w:style w:type="paragraph" w:styleId="Nagwek1">
    <w:name w:val="heading 1"/>
    <w:basedOn w:val="Normalny"/>
    <w:link w:val="Nagwek1Znak"/>
    <w:uiPriority w:val="9"/>
    <w:qFormat/>
    <w:rsid w:val="00102441"/>
    <w:pPr>
      <w:spacing w:before="100" w:beforeAutospacing="1" w:after="100" w:afterAutospacing="1"/>
      <w:outlineLvl w:val="0"/>
    </w:pPr>
    <w:rPr>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pple-converted-space">
    <w:name w:val="apple-converted-space"/>
    <w:basedOn w:val="Domylnaczcionkaakapitu"/>
    <w:rsid w:val="002B3A1F"/>
  </w:style>
  <w:style w:type="character" w:styleId="Uwydatnienie">
    <w:name w:val="Emphasis"/>
    <w:basedOn w:val="Domylnaczcionkaakapitu"/>
    <w:uiPriority w:val="20"/>
    <w:qFormat/>
    <w:rsid w:val="00106C0E"/>
    <w:rPr>
      <w:i/>
      <w:iCs/>
    </w:rPr>
  </w:style>
  <w:style w:type="character" w:customStyle="1" w:styleId="Nagwek1Znak">
    <w:name w:val="Nagłówek 1 Znak"/>
    <w:basedOn w:val="Domylnaczcionkaakapitu"/>
    <w:link w:val="Nagwek1"/>
    <w:uiPriority w:val="9"/>
    <w:rsid w:val="00102441"/>
    <w:rPr>
      <w:rFonts w:ascii="Times New Roman" w:eastAsia="Times New Roman" w:hAnsi="Times New Roman" w:cs="Times New Roman"/>
      <w:b/>
      <w:bCs/>
      <w:kern w:val="36"/>
      <w:sz w:val="48"/>
      <w:szCs w:val="48"/>
      <w:lang w:eastAsia="pl-PL"/>
      <w14:ligatures w14:val="none"/>
    </w:rPr>
  </w:style>
  <w:style w:type="character" w:styleId="Hipercze">
    <w:name w:val="Hyperlink"/>
    <w:basedOn w:val="Domylnaczcionkaakapitu"/>
    <w:uiPriority w:val="99"/>
    <w:unhideWhenUsed/>
    <w:rsid w:val="007C50A6"/>
    <w:rPr>
      <w:color w:val="0563C1" w:themeColor="hyperlink"/>
      <w:u w:val="single"/>
    </w:rPr>
  </w:style>
  <w:style w:type="paragraph" w:styleId="Tekstdymka">
    <w:name w:val="Balloon Text"/>
    <w:basedOn w:val="Normalny"/>
    <w:link w:val="TekstdymkaZnak"/>
    <w:uiPriority w:val="99"/>
    <w:semiHidden/>
    <w:unhideWhenUsed/>
    <w:rsid w:val="00413951"/>
    <w:rPr>
      <w:rFonts w:ascii="Tahoma" w:hAnsi="Tahoma" w:cs="Tahoma"/>
      <w:sz w:val="16"/>
      <w:szCs w:val="16"/>
    </w:rPr>
  </w:style>
  <w:style w:type="character" w:customStyle="1" w:styleId="TekstdymkaZnak">
    <w:name w:val="Tekst dymka Znak"/>
    <w:basedOn w:val="Domylnaczcionkaakapitu"/>
    <w:link w:val="Tekstdymka"/>
    <w:uiPriority w:val="99"/>
    <w:semiHidden/>
    <w:rsid w:val="00413951"/>
    <w:rPr>
      <w:rFonts w:ascii="Tahoma" w:eastAsia="Times New Roman" w:hAnsi="Tahoma" w:cs="Tahoma"/>
      <w:kern w:val="0"/>
      <w:sz w:val="16"/>
      <w:szCs w:val="16"/>
      <w:lang w:eastAsia="pl-PL"/>
      <w14:ligatures w14:val="none"/>
    </w:rPr>
  </w:style>
  <w:style w:type="character" w:styleId="Odwoaniedokomentarza">
    <w:name w:val="annotation reference"/>
    <w:basedOn w:val="Domylnaczcionkaakapitu"/>
    <w:uiPriority w:val="99"/>
    <w:semiHidden/>
    <w:unhideWhenUsed/>
    <w:rsid w:val="00256940"/>
    <w:rPr>
      <w:sz w:val="16"/>
      <w:szCs w:val="16"/>
    </w:rPr>
  </w:style>
  <w:style w:type="paragraph" w:styleId="Tekstkomentarza">
    <w:name w:val="annotation text"/>
    <w:basedOn w:val="Normalny"/>
    <w:link w:val="TekstkomentarzaZnak"/>
    <w:uiPriority w:val="99"/>
    <w:semiHidden/>
    <w:unhideWhenUsed/>
    <w:rsid w:val="00256940"/>
    <w:rPr>
      <w:sz w:val="20"/>
      <w:szCs w:val="20"/>
    </w:rPr>
  </w:style>
  <w:style w:type="character" w:customStyle="1" w:styleId="TekstkomentarzaZnak">
    <w:name w:val="Tekst komentarza Znak"/>
    <w:basedOn w:val="Domylnaczcionkaakapitu"/>
    <w:link w:val="Tekstkomentarza"/>
    <w:uiPriority w:val="99"/>
    <w:semiHidden/>
    <w:rsid w:val="00256940"/>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256940"/>
    <w:rPr>
      <w:b/>
      <w:bCs/>
    </w:rPr>
  </w:style>
  <w:style w:type="character" w:customStyle="1" w:styleId="TematkomentarzaZnak">
    <w:name w:val="Temat komentarza Znak"/>
    <w:basedOn w:val="TekstkomentarzaZnak"/>
    <w:link w:val="Tematkomentarza"/>
    <w:uiPriority w:val="99"/>
    <w:semiHidden/>
    <w:rsid w:val="00256940"/>
    <w:rPr>
      <w:rFonts w:ascii="Times New Roman" w:eastAsia="Times New Roman" w:hAnsi="Times New Roman" w:cs="Times New Roman"/>
      <w:b/>
      <w:bCs/>
      <w:kern w:val="0"/>
      <w:sz w:val="20"/>
      <w:szCs w:val="20"/>
      <w:lang w:eastAsia="pl-PL"/>
      <w14:ligatures w14:val="none"/>
    </w:rPr>
  </w:style>
  <w:style w:type="paragraph" w:styleId="Poprawka">
    <w:name w:val="Revision"/>
    <w:hidden/>
    <w:uiPriority w:val="99"/>
    <w:semiHidden/>
    <w:rsid w:val="00FF63C8"/>
    <w:rPr>
      <w:rFonts w:ascii="Times New Roman" w:eastAsia="Times New Roman" w:hAnsi="Times New Roman" w:cs="Times New Roman"/>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2948688">
      <w:bodyDiv w:val="1"/>
      <w:marLeft w:val="0"/>
      <w:marRight w:val="0"/>
      <w:marTop w:val="0"/>
      <w:marBottom w:val="0"/>
      <w:divBdr>
        <w:top w:val="none" w:sz="0" w:space="0" w:color="auto"/>
        <w:left w:val="none" w:sz="0" w:space="0" w:color="auto"/>
        <w:bottom w:val="none" w:sz="0" w:space="0" w:color="auto"/>
        <w:right w:val="none" w:sz="0" w:space="0" w:color="auto"/>
      </w:divBdr>
      <w:divsChild>
        <w:div w:id="741297825">
          <w:marLeft w:val="360"/>
          <w:marRight w:val="0"/>
          <w:marTop w:val="0"/>
          <w:marBottom w:val="0"/>
          <w:divBdr>
            <w:top w:val="none" w:sz="0" w:space="0" w:color="auto"/>
            <w:left w:val="none" w:sz="0" w:space="0" w:color="auto"/>
            <w:bottom w:val="none" w:sz="0" w:space="0" w:color="auto"/>
            <w:right w:val="none" w:sz="0" w:space="0" w:color="auto"/>
          </w:divBdr>
          <w:divsChild>
            <w:div w:id="111751029">
              <w:marLeft w:val="0"/>
              <w:marRight w:val="0"/>
              <w:marTop w:val="0"/>
              <w:marBottom w:val="0"/>
              <w:divBdr>
                <w:top w:val="none" w:sz="0" w:space="0" w:color="auto"/>
                <w:left w:val="none" w:sz="0" w:space="0" w:color="auto"/>
                <w:bottom w:val="none" w:sz="0" w:space="0" w:color="auto"/>
                <w:right w:val="none" w:sz="0" w:space="0" w:color="auto"/>
              </w:divBdr>
            </w:div>
          </w:divsChild>
        </w:div>
        <w:div w:id="1882933187">
          <w:marLeft w:val="360"/>
          <w:marRight w:val="0"/>
          <w:marTop w:val="0"/>
          <w:marBottom w:val="0"/>
          <w:divBdr>
            <w:top w:val="none" w:sz="0" w:space="0" w:color="auto"/>
            <w:left w:val="none" w:sz="0" w:space="0" w:color="auto"/>
            <w:bottom w:val="none" w:sz="0" w:space="0" w:color="auto"/>
            <w:right w:val="none" w:sz="0" w:space="0" w:color="auto"/>
          </w:divBdr>
          <w:divsChild>
            <w:div w:id="457115518">
              <w:marLeft w:val="0"/>
              <w:marRight w:val="0"/>
              <w:marTop w:val="0"/>
              <w:marBottom w:val="0"/>
              <w:divBdr>
                <w:top w:val="none" w:sz="0" w:space="0" w:color="auto"/>
                <w:left w:val="none" w:sz="0" w:space="0" w:color="auto"/>
                <w:bottom w:val="none" w:sz="0" w:space="0" w:color="auto"/>
                <w:right w:val="none" w:sz="0" w:space="0" w:color="auto"/>
              </w:divBdr>
            </w:div>
          </w:divsChild>
        </w:div>
        <w:div w:id="1390423415">
          <w:marLeft w:val="360"/>
          <w:marRight w:val="0"/>
          <w:marTop w:val="0"/>
          <w:marBottom w:val="0"/>
          <w:divBdr>
            <w:top w:val="none" w:sz="0" w:space="0" w:color="auto"/>
            <w:left w:val="none" w:sz="0" w:space="0" w:color="auto"/>
            <w:bottom w:val="none" w:sz="0" w:space="0" w:color="auto"/>
            <w:right w:val="none" w:sz="0" w:space="0" w:color="auto"/>
          </w:divBdr>
          <w:divsChild>
            <w:div w:id="24307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65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4694</TotalTime>
  <Pages>4</Pages>
  <Words>1691</Words>
  <Characters>10152</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Barbasiewicz</dc:creator>
  <cp:keywords/>
  <dc:description/>
  <cp:lastModifiedBy>Marta Kocus</cp:lastModifiedBy>
  <cp:revision>289</cp:revision>
  <dcterms:created xsi:type="dcterms:W3CDTF">2024-02-14T10:06:00Z</dcterms:created>
  <dcterms:modified xsi:type="dcterms:W3CDTF">2025-04-07T06:43:00Z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2025-04-07T06:42:59Z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649682d0-98e3-4250-9c05-cbd77dcf0411</vt:lpwstr>
  </property>
  <property fmtid="{D5CDD505-2E9C-101B-9397-08002B2CF9AE}" pid="7" name="MSIP_Label_defa4170-0d19-0005-0004-bc88714345d2_ActionId">
    <vt:lpwstr>3ffbaadc-7d81-4146-ba8a-b7faa5a8e23c</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